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4E6F81"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4E6F81"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000F299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2F090389" w:rsidR="009C2829" w:rsidRPr="000257FB" w:rsidRDefault="001076AF" w:rsidP="0080543C">
            <w:pPr>
              <w:pStyle w:val="Header"/>
              <w:jc w:val="center"/>
              <w:rPr>
                <w:rFonts w:asciiTheme="majorHAnsi" w:hAnsiTheme="majorHAnsi"/>
                <w:b/>
              </w:rPr>
            </w:pPr>
            <w:r>
              <w:rPr>
                <w:rFonts w:asciiTheme="majorHAnsi" w:hAnsiTheme="majorHAnsi"/>
                <w:b/>
                <w:sz w:val="22"/>
              </w:rPr>
              <w:t>Nov. 16</w:t>
            </w:r>
            <w:r w:rsidR="009C2829">
              <w:rPr>
                <w:rFonts w:asciiTheme="majorHAnsi" w:hAnsiTheme="majorHAnsi"/>
                <w:b/>
                <w:sz w:val="22"/>
              </w:rPr>
              <w:t>, 201</w:t>
            </w:r>
            <w:r w:rsidR="0052069E">
              <w:rPr>
                <w:rFonts w:asciiTheme="majorHAnsi" w:hAnsiTheme="majorHAnsi"/>
                <w:b/>
                <w:sz w:val="22"/>
              </w:rPr>
              <w:t>7</w:t>
            </w:r>
          </w:p>
        </w:tc>
      </w:tr>
      <w:tr w:rsidR="009C2829" w:rsidRPr="00B14985" w14:paraId="2DD4D865" w14:textId="77777777" w:rsidTr="00891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891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shd w:val="clear" w:color="auto" w:fill="D9D9D9" w:themeFill="background1" w:themeFillShade="D9"/>
          </w:tcPr>
          <w:p w14:paraId="597E7222" w14:textId="77777777" w:rsidR="00936B3A" w:rsidRDefault="00936B3A" w:rsidP="003F0266">
            <w:pPr>
              <w:rPr>
                <w:rFonts w:ascii="Calibri Light" w:hAnsi="Calibri Light"/>
                <w:noProof/>
                <w:sz w:val="20"/>
              </w:rPr>
            </w:pPr>
          </w:p>
          <w:p w14:paraId="0D7939ED" w14:textId="77777777" w:rsidR="00936B3A" w:rsidRDefault="004E6F81" w:rsidP="008B6179">
            <w:pPr>
              <w:rPr>
                <w:rFonts w:ascii="Calibri Light" w:hAnsi="Calibri Light"/>
                <w:noProof/>
                <w:sz w:val="20"/>
              </w:rPr>
            </w:pPr>
            <w:r>
              <w:rPr>
                <w:rFonts w:ascii="Calibri Light" w:hAnsi="Calibri Light"/>
                <w:b/>
                <w:noProof/>
                <w:sz w:val="20"/>
              </w:rPr>
              <w:t>IMO</w:t>
            </w:r>
          </w:p>
          <w:p w14:paraId="62ED5B37" w14:textId="7ECF7778" w:rsidR="004E6F81" w:rsidRPr="004E6F81" w:rsidRDefault="004E6F81" w:rsidP="008B6179">
            <w:pPr>
              <w:rPr>
                <w:rFonts w:ascii="Calibri Light" w:hAnsi="Calibri Light"/>
                <w:noProof/>
                <w:sz w:val="20"/>
              </w:rPr>
            </w:pPr>
            <w:r>
              <w:rPr>
                <w:rFonts w:ascii="Calibri Light" w:hAnsi="Calibri Light"/>
                <w:noProof/>
                <w:sz w:val="20"/>
              </w:rPr>
              <w:t xml:space="preserve">Karen Hunley is working part-time for IMO until they have hired a new coordinator. </w:t>
            </w:r>
            <w:bookmarkStart w:id="0" w:name="_GoBack"/>
            <w:bookmarkEnd w:id="0"/>
          </w:p>
        </w:tc>
        <w:tc>
          <w:tcPr>
            <w:tcW w:w="6120" w:type="dxa"/>
            <w:gridSpan w:val="2"/>
          </w:tcPr>
          <w:p w14:paraId="43694EBF" w14:textId="77777777" w:rsidR="00733AEA" w:rsidRDefault="00733AEA" w:rsidP="003D7E2A">
            <w:pPr>
              <w:rPr>
                <w:rFonts w:asciiTheme="majorHAnsi" w:eastAsia="Times New Roman" w:hAnsiTheme="majorHAnsi" w:cs="Arial"/>
                <w:b/>
                <w:color w:val="000000" w:themeColor="text1"/>
                <w:szCs w:val="20"/>
              </w:rPr>
            </w:pPr>
          </w:p>
          <w:p w14:paraId="56940DB8" w14:textId="7FF41D6B" w:rsidR="007E09F3" w:rsidRPr="005D163A" w:rsidRDefault="00FC304A" w:rsidP="007E09F3">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Monthly financial update—</w:t>
            </w:r>
            <w:r w:rsidR="008B2E72">
              <w:rPr>
                <w:rFonts w:asciiTheme="majorHAnsi" w:eastAsia="Times New Roman" w:hAnsiTheme="majorHAnsi" w:cs="Arial"/>
                <w:b/>
                <w:color w:val="000000" w:themeColor="text1"/>
                <w:szCs w:val="20"/>
              </w:rPr>
              <w:t>October</w:t>
            </w:r>
            <w:r w:rsidR="007E09F3">
              <w:rPr>
                <w:rFonts w:asciiTheme="majorHAnsi" w:eastAsia="Times New Roman" w:hAnsiTheme="majorHAnsi" w:cs="Arial"/>
                <w:b/>
                <w:color w:val="000000" w:themeColor="text1"/>
                <w:szCs w:val="20"/>
              </w:rPr>
              <w:t>:</w:t>
            </w:r>
          </w:p>
          <w:p w14:paraId="6913D6C0" w14:textId="049EA35A" w:rsidR="00662EE7" w:rsidRPr="00662EE7" w:rsidRDefault="00662EE7" w:rsidP="00662EE7">
            <w:pPr>
              <w:pStyle w:val="ListParagraph"/>
              <w:numPr>
                <w:ilvl w:val="0"/>
                <w:numId w:val="14"/>
              </w:numPr>
              <w:rPr>
                <w:rFonts w:ascii="Calibri Light" w:hAnsi="Calibri Light"/>
                <w:sz w:val="21"/>
                <w:szCs w:val="21"/>
              </w:rPr>
            </w:pPr>
            <w:r w:rsidRPr="00662EE7">
              <w:rPr>
                <w:rFonts w:ascii="Calibri Light" w:hAnsi="Calibri Light"/>
                <w:sz w:val="21"/>
                <w:szCs w:val="21"/>
              </w:rPr>
              <w:t>We had a positive adjuste</w:t>
            </w:r>
            <w:r w:rsidR="00410334">
              <w:rPr>
                <w:rFonts w:ascii="Calibri Light" w:hAnsi="Calibri Light"/>
                <w:sz w:val="21"/>
                <w:szCs w:val="21"/>
              </w:rPr>
              <w:t xml:space="preserve">d margin (bottom </w:t>
            </w:r>
            <w:r w:rsidRPr="00662EE7">
              <w:rPr>
                <w:rFonts w:ascii="Calibri Light" w:hAnsi="Calibri Light"/>
                <w:sz w:val="21"/>
                <w:szCs w:val="21"/>
              </w:rPr>
              <w:t>line) of $6.9 million.</w:t>
            </w:r>
          </w:p>
          <w:p w14:paraId="392270B2" w14:textId="3B2CEC5C" w:rsidR="00662EE7" w:rsidRPr="00662EE7" w:rsidRDefault="00662EE7" w:rsidP="00662EE7">
            <w:pPr>
              <w:pStyle w:val="ListParagraph"/>
              <w:numPr>
                <w:ilvl w:val="0"/>
                <w:numId w:val="14"/>
              </w:numPr>
              <w:rPr>
                <w:rFonts w:ascii="Calibri Light" w:hAnsi="Calibri Light"/>
                <w:sz w:val="21"/>
                <w:szCs w:val="21"/>
              </w:rPr>
            </w:pPr>
            <w:r w:rsidRPr="00662EE7">
              <w:rPr>
                <w:rFonts w:ascii="Calibri Light" w:hAnsi="Calibri Light"/>
                <w:sz w:val="21"/>
                <w:szCs w:val="21"/>
              </w:rPr>
              <w:t>We ha</w:t>
            </w:r>
            <w:r w:rsidR="00410334">
              <w:rPr>
                <w:rFonts w:ascii="Calibri Light" w:hAnsi="Calibri Light"/>
                <w:sz w:val="21"/>
                <w:szCs w:val="21"/>
              </w:rPr>
              <w:t xml:space="preserve">d planned for a positive bottom </w:t>
            </w:r>
            <w:r w:rsidRPr="00662EE7">
              <w:rPr>
                <w:rFonts w:ascii="Calibri Light" w:hAnsi="Calibri Light"/>
                <w:sz w:val="21"/>
                <w:szCs w:val="21"/>
              </w:rPr>
              <w:t>line of $14.4 million</w:t>
            </w:r>
            <w:r w:rsidR="00293436">
              <w:rPr>
                <w:rFonts w:ascii="Calibri Light" w:hAnsi="Calibri Light"/>
                <w:sz w:val="21"/>
                <w:szCs w:val="21"/>
              </w:rPr>
              <w:t>,</w:t>
            </w:r>
            <w:r w:rsidRPr="00662EE7">
              <w:rPr>
                <w:rFonts w:ascii="Calibri Light" w:hAnsi="Calibri Light"/>
                <w:sz w:val="21"/>
                <w:szCs w:val="21"/>
              </w:rPr>
              <w:t xml:space="preserve"> which means we are off budget by $7.5 million.</w:t>
            </w:r>
          </w:p>
          <w:p w14:paraId="794A3A8C" w14:textId="457457D8" w:rsidR="00662EE7" w:rsidRPr="00662EE7" w:rsidRDefault="00410334" w:rsidP="00662EE7">
            <w:pPr>
              <w:pStyle w:val="ListParagraph"/>
              <w:numPr>
                <w:ilvl w:val="0"/>
                <w:numId w:val="14"/>
              </w:numPr>
              <w:rPr>
                <w:rFonts w:ascii="Calibri Light" w:hAnsi="Calibri Light"/>
                <w:sz w:val="21"/>
                <w:szCs w:val="21"/>
              </w:rPr>
            </w:pPr>
            <w:r>
              <w:rPr>
                <w:rFonts w:ascii="Calibri Light" w:hAnsi="Calibri Light"/>
                <w:sz w:val="21"/>
                <w:szCs w:val="21"/>
              </w:rPr>
              <w:t>Why? P</w:t>
            </w:r>
            <w:r w:rsidR="00662EE7" w:rsidRPr="00662EE7">
              <w:rPr>
                <w:rFonts w:ascii="Calibri Light" w:hAnsi="Calibri Light"/>
                <w:sz w:val="21"/>
                <w:szCs w:val="21"/>
              </w:rPr>
              <w:t xml:space="preserve">atient care revenues are down because we aren’t being reimbursed for certain procedures at the amount </w:t>
            </w:r>
            <w:r w:rsidR="00293436">
              <w:rPr>
                <w:rFonts w:ascii="Calibri Light" w:hAnsi="Calibri Light"/>
                <w:sz w:val="21"/>
                <w:szCs w:val="21"/>
              </w:rPr>
              <w:t xml:space="preserve">that </w:t>
            </w:r>
            <w:r>
              <w:rPr>
                <w:rFonts w:ascii="Calibri Light" w:hAnsi="Calibri Light"/>
                <w:sz w:val="21"/>
                <w:szCs w:val="21"/>
              </w:rPr>
              <w:t xml:space="preserve">we </w:t>
            </w:r>
            <w:r w:rsidR="00662EE7" w:rsidRPr="00662EE7">
              <w:rPr>
                <w:rFonts w:ascii="Calibri Light" w:hAnsi="Calibri Light"/>
                <w:sz w:val="21"/>
                <w:szCs w:val="21"/>
              </w:rPr>
              <w:t>expected.</w:t>
            </w:r>
          </w:p>
          <w:p w14:paraId="2FB4FD8E" w14:textId="1BF95794" w:rsidR="00662EE7" w:rsidRPr="00662EE7" w:rsidRDefault="00410334" w:rsidP="00662EE7">
            <w:pPr>
              <w:pStyle w:val="ListParagraph"/>
              <w:numPr>
                <w:ilvl w:val="0"/>
                <w:numId w:val="14"/>
              </w:numPr>
              <w:rPr>
                <w:rFonts w:ascii="Calibri Light" w:hAnsi="Calibri Light"/>
                <w:sz w:val="21"/>
                <w:szCs w:val="21"/>
              </w:rPr>
            </w:pPr>
            <w:r>
              <w:rPr>
                <w:rFonts w:ascii="Calibri Light" w:hAnsi="Calibri Light"/>
                <w:sz w:val="21"/>
                <w:szCs w:val="21"/>
              </w:rPr>
              <w:t xml:space="preserve">What can you do? </w:t>
            </w:r>
            <w:r w:rsidR="00662EE7" w:rsidRPr="00662EE7">
              <w:rPr>
                <w:rFonts w:ascii="Calibri Light" w:hAnsi="Calibri Light"/>
                <w:sz w:val="21"/>
                <w:szCs w:val="21"/>
              </w:rPr>
              <w:t>Consciously watch the use of supplies of all types</w:t>
            </w:r>
            <w:r>
              <w:rPr>
                <w:rFonts w:ascii="Calibri Light" w:hAnsi="Calibri Light"/>
                <w:sz w:val="21"/>
                <w:szCs w:val="21"/>
              </w:rPr>
              <w:t xml:space="preserve">. </w:t>
            </w:r>
            <w:r w:rsidR="00662EE7" w:rsidRPr="00662EE7">
              <w:rPr>
                <w:rFonts w:ascii="Calibri Light" w:hAnsi="Calibri Light"/>
                <w:sz w:val="21"/>
                <w:szCs w:val="21"/>
              </w:rPr>
              <w:t>It may seem small</w:t>
            </w:r>
            <w:r>
              <w:rPr>
                <w:rFonts w:ascii="Calibri Light" w:hAnsi="Calibri Light"/>
                <w:sz w:val="21"/>
                <w:szCs w:val="21"/>
              </w:rPr>
              <w:t>,</w:t>
            </w:r>
            <w:r w:rsidR="00662EE7" w:rsidRPr="00662EE7">
              <w:rPr>
                <w:rFonts w:ascii="Calibri Light" w:hAnsi="Calibri Light"/>
                <w:sz w:val="21"/>
                <w:szCs w:val="21"/>
              </w:rPr>
              <w:t xml:space="preserve"> but </w:t>
            </w:r>
            <w:r w:rsidR="00293436">
              <w:rPr>
                <w:rFonts w:ascii="Calibri Light" w:hAnsi="Calibri Light"/>
                <w:sz w:val="21"/>
                <w:szCs w:val="21"/>
              </w:rPr>
              <w:t>actions such as</w:t>
            </w:r>
            <w:r w:rsidR="00662EE7" w:rsidRPr="00662EE7">
              <w:rPr>
                <w:rFonts w:ascii="Calibri Light" w:hAnsi="Calibri Light"/>
                <w:sz w:val="21"/>
                <w:szCs w:val="21"/>
              </w:rPr>
              <w:t xml:space="preserve"> turning off lights and watching what </w:t>
            </w:r>
            <w:r w:rsidR="00293436">
              <w:rPr>
                <w:rFonts w:ascii="Calibri Light" w:hAnsi="Calibri Light"/>
                <w:sz w:val="21"/>
                <w:szCs w:val="21"/>
              </w:rPr>
              <w:t>you print can make a difference</w:t>
            </w:r>
            <w:r>
              <w:rPr>
                <w:rFonts w:ascii="Calibri Light" w:hAnsi="Calibri Light"/>
                <w:sz w:val="21"/>
                <w:szCs w:val="21"/>
              </w:rPr>
              <w:t>.</w:t>
            </w:r>
          </w:p>
          <w:p w14:paraId="198A78E5" w14:textId="77777777" w:rsidR="00315952" w:rsidRDefault="00315952" w:rsidP="00AE03F6">
            <w:pPr>
              <w:rPr>
                <w:rFonts w:ascii="Calibri Light" w:hAnsi="Calibri Light"/>
                <w:sz w:val="21"/>
                <w:szCs w:val="21"/>
              </w:rPr>
            </w:pPr>
          </w:p>
          <w:p w14:paraId="704CB611" w14:textId="04A528E4" w:rsidR="00315952" w:rsidRPr="005D163A" w:rsidRDefault="007727F9" w:rsidP="00315952">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Dr. Deborah Jones named senior vice president, dean of the UTMB School of Nursing</w:t>
            </w:r>
            <w:r w:rsidR="00315952">
              <w:rPr>
                <w:rFonts w:asciiTheme="majorHAnsi" w:eastAsia="Times New Roman" w:hAnsiTheme="majorHAnsi" w:cs="Arial"/>
                <w:b/>
                <w:color w:val="000000" w:themeColor="text1"/>
                <w:szCs w:val="20"/>
              </w:rPr>
              <w:t>:</w:t>
            </w:r>
          </w:p>
          <w:p w14:paraId="49311A4B" w14:textId="230BB4A2" w:rsidR="00315952" w:rsidRPr="007727F9" w:rsidRDefault="007727F9" w:rsidP="00AE03F6">
            <w:pPr>
              <w:rPr>
                <w:rFonts w:ascii="Calibri Light" w:hAnsi="Calibri Light"/>
                <w:color w:val="000000"/>
                <w:sz w:val="21"/>
                <w:szCs w:val="21"/>
              </w:rPr>
            </w:pPr>
            <w:r w:rsidRPr="007727F9">
              <w:rPr>
                <w:rFonts w:ascii="Calibri Light" w:hAnsi="Calibri Light" w:cs="Arial"/>
                <w:color w:val="000000"/>
                <w:sz w:val="21"/>
                <w:szCs w:val="21"/>
              </w:rPr>
              <w:t>Dr. Deborah J. Jones has been appointed senior vice president and dean of the UTMB School of Nursing. Dr. Jones, who is currently the associate dean for professional development and faculty affairs at The University of Texas Health Science Center at Houston’s School of Nursing, will join UTMB on Dec. 1. Dr. Jones is an expert in oral care, and her research has helped change national health protocols aimed at reducing ventilator-associated pneumonia by improving oral hygiene. Earlier this year, she was elected to a three-year term to the board of the American Association of Critical Care Nurses. The appointment of Dr. Jones follows the September retirement of Dr. Pamela G. Watson, who served 16 years as dean. To read more about Dr. Jones, visit</w:t>
            </w:r>
            <w:r w:rsidRPr="007727F9">
              <w:rPr>
                <w:rStyle w:val="apple-converted-space"/>
                <w:rFonts w:ascii="Calibri Light" w:hAnsi="Calibri Light" w:cs="Arial"/>
                <w:color w:val="000000"/>
                <w:sz w:val="21"/>
                <w:szCs w:val="21"/>
              </w:rPr>
              <w:t> </w:t>
            </w:r>
            <w:hyperlink r:id="rId13" w:history="1">
              <w:r w:rsidRPr="007727F9">
                <w:rPr>
                  <w:rStyle w:val="Hyperlink"/>
                  <w:rFonts w:ascii="Calibri Light" w:hAnsi="Calibri Light" w:cs="Arial"/>
                  <w:color w:val="FF0000"/>
                  <w:sz w:val="21"/>
                  <w:szCs w:val="21"/>
                </w:rPr>
                <w:t>https://www.utmb.edu/newsroom/article11697.aspx</w:t>
              </w:r>
            </w:hyperlink>
            <w:r w:rsidRPr="007727F9">
              <w:rPr>
                <w:rFonts w:ascii="Calibri Light" w:hAnsi="Calibri Light" w:cs="Arial"/>
                <w:color w:val="000000"/>
                <w:sz w:val="21"/>
                <w:szCs w:val="21"/>
              </w:rPr>
              <w:t>.</w:t>
            </w:r>
          </w:p>
          <w:p w14:paraId="131D7855" w14:textId="77777777" w:rsidR="007727F9" w:rsidRPr="007727F9" w:rsidRDefault="007727F9" w:rsidP="00AE03F6">
            <w:pPr>
              <w:rPr>
                <w:rFonts w:ascii="Calibri" w:hAnsi="Calibri"/>
                <w:color w:val="000000"/>
              </w:rPr>
            </w:pPr>
          </w:p>
          <w:p w14:paraId="7BCA9B11" w14:textId="3486A94E" w:rsidR="006F56B1" w:rsidRPr="005D163A" w:rsidRDefault="007727F9" w:rsidP="006F56B1">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Giving Tuesday and the Innovations in Mind initiative</w:t>
            </w:r>
          </w:p>
          <w:p w14:paraId="33D5B003" w14:textId="0455BDAF" w:rsidR="005D7C91" w:rsidRPr="007727F9" w:rsidRDefault="007727F9" w:rsidP="007727F9">
            <w:pPr>
              <w:rPr>
                <w:rFonts w:ascii="Calibri Light" w:eastAsia="Times New Roman" w:hAnsi="Calibri Light"/>
                <w:sz w:val="21"/>
                <w:szCs w:val="21"/>
              </w:rPr>
            </w:pPr>
            <w:r w:rsidRPr="007727F9">
              <w:rPr>
                <w:rFonts w:ascii="Calibri Light" w:eastAsia="Times New Roman" w:hAnsi="Calibri Light" w:cs="Arial"/>
                <w:color w:val="000000"/>
                <w:sz w:val="21"/>
                <w:szCs w:val="21"/>
                <w:shd w:val="clear" w:color="auto" w:fill="FFFFFF"/>
              </w:rPr>
              <w:t xml:space="preserve">On Nov. 28, UTMB will celebrate Giving Tuesday, the national day of philanthropy, with an invitation for all faculty and staff to make a personal contribution to the university as part of UTMB’s Innovations in Mind fundraising initiative. The initiative has four funding priorities: raising $22.6 million of the $90.4 million cost for the new Health Education Center, supporting student scholarships, </w:t>
            </w:r>
            <w:proofErr w:type="gramStart"/>
            <w:r w:rsidRPr="007727F9">
              <w:rPr>
                <w:rFonts w:ascii="Calibri Light" w:eastAsia="Times New Roman" w:hAnsi="Calibri Light" w:cs="Arial"/>
                <w:color w:val="000000"/>
                <w:sz w:val="21"/>
                <w:szCs w:val="21"/>
                <w:shd w:val="clear" w:color="auto" w:fill="FFFFFF"/>
              </w:rPr>
              <w:t>establishing</w:t>
            </w:r>
            <w:proofErr w:type="gramEnd"/>
            <w:r w:rsidRPr="007727F9">
              <w:rPr>
                <w:rFonts w:ascii="Calibri Light" w:eastAsia="Times New Roman" w:hAnsi="Calibri Light" w:cs="Arial"/>
                <w:color w:val="000000"/>
                <w:sz w:val="21"/>
                <w:szCs w:val="21"/>
                <w:shd w:val="clear" w:color="auto" w:fill="FFFFFF"/>
              </w:rPr>
              <w:t xml:space="preserve"> faculty endowments and investing in UTMB’s pioneering neurodegenerative disorders research. We understand many of our employees have faced tremendous challenges because of Hurricane Harvey and/or have already donated to the SECC campaign and other worthy causes. No contribution is too small, and every contribution will help advance UTMB’s mission. To those of you who have already made your Innovations in Mind gift—795 of us, committing more than $5 million so far—we extend our wholehearted thanks. To be a part of this special day of generosity, visit</w:t>
            </w:r>
            <w:r w:rsidRPr="007727F9">
              <w:rPr>
                <w:rStyle w:val="apple-converted-space"/>
                <w:rFonts w:ascii="Calibri Light" w:eastAsia="Times New Roman" w:hAnsi="Calibri Light" w:cs="Arial"/>
                <w:color w:val="000000"/>
                <w:sz w:val="21"/>
                <w:szCs w:val="21"/>
                <w:shd w:val="clear" w:color="auto" w:fill="FFFFFF"/>
              </w:rPr>
              <w:t> </w:t>
            </w:r>
            <w:hyperlink r:id="rId14" w:history="1">
              <w:r w:rsidRPr="007727F9">
                <w:rPr>
                  <w:rStyle w:val="Hyperlink"/>
                  <w:rFonts w:ascii="Calibri Light" w:eastAsia="Times New Roman" w:hAnsi="Calibri Light" w:cs="Arial"/>
                  <w:color w:val="FF0000"/>
                  <w:sz w:val="21"/>
                  <w:szCs w:val="21"/>
                </w:rPr>
                <w:t>https://innovationsinmind.utmb.edu/employee</w:t>
              </w:r>
            </w:hyperlink>
            <w:r w:rsidRPr="007727F9">
              <w:rPr>
                <w:rFonts w:ascii="Calibri Light" w:eastAsia="Times New Roman" w:hAnsi="Calibri Light" w:cs="Arial"/>
                <w:color w:val="FF0000"/>
                <w:sz w:val="21"/>
                <w:szCs w:val="21"/>
                <w:shd w:val="clear" w:color="auto" w:fill="FFFFFF"/>
              </w:rPr>
              <w:t> </w:t>
            </w:r>
            <w:r w:rsidRPr="007727F9">
              <w:rPr>
                <w:rFonts w:ascii="Calibri Light" w:eastAsia="Times New Roman" w:hAnsi="Calibri Light" w:cs="Arial"/>
                <w:color w:val="000000"/>
                <w:sz w:val="21"/>
                <w:szCs w:val="21"/>
                <w:shd w:val="clear" w:color="auto" w:fill="FFFFFF"/>
              </w:rPr>
              <w:t>and make your gift.</w:t>
            </w:r>
          </w:p>
        </w:tc>
      </w:tr>
      <w:tr w:rsidR="009C2829" w14:paraId="10CA5146"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D82B7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5">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6">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7">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8">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1849C7" w14:paraId="37678722" w14:textId="77777777" w:rsidTr="00891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54"/>
        </w:trPr>
        <w:tc>
          <w:tcPr>
            <w:tcW w:w="5153" w:type="dxa"/>
            <w:gridSpan w:val="3"/>
            <w:vMerge w:val="restart"/>
            <w:tcBorders>
              <w:top w:val="single" w:sz="8" w:space="0" w:color="auto"/>
              <w:left w:val="single" w:sz="8" w:space="0" w:color="auto"/>
              <w:right w:val="single" w:sz="4" w:space="0" w:color="auto"/>
            </w:tcBorders>
          </w:tcPr>
          <w:p w14:paraId="765E434D" w14:textId="77777777" w:rsidR="005D7C91" w:rsidRDefault="005D7C91" w:rsidP="00AE03F6">
            <w:pPr>
              <w:rPr>
                <w:rFonts w:asciiTheme="majorHAnsi" w:eastAsia="Times New Roman" w:hAnsiTheme="majorHAnsi" w:cs="Arial"/>
                <w:b/>
                <w:color w:val="FF0000"/>
                <w:sz w:val="18"/>
                <w:szCs w:val="18"/>
              </w:rPr>
            </w:pPr>
          </w:p>
          <w:p w14:paraId="26E86DE7" w14:textId="27289C72" w:rsidR="009226C8" w:rsidRPr="005D163A" w:rsidRDefault="009226C8" w:rsidP="009226C8">
            <w:pPr>
              <w:rPr>
                <w:rFonts w:asciiTheme="majorHAnsi" w:eastAsia="Times New Roman" w:hAnsiTheme="majorHAnsi" w:cs="Arial"/>
                <w:b/>
                <w:color w:val="000000" w:themeColor="text1"/>
                <w:szCs w:val="20"/>
              </w:rPr>
            </w:pPr>
            <w:r>
              <w:rPr>
                <w:rFonts w:asciiTheme="majorHAnsi" w:eastAsia="Times New Roman" w:hAnsiTheme="majorHAnsi" w:cs="Arial"/>
                <w:b/>
                <w:noProof/>
                <w:color w:val="FF0000"/>
                <w:szCs w:val="20"/>
              </w:rPr>
              <w:drawing>
                <wp:inline distT="0" distB="0" distL="0" distR="0" wp14:anchorId="7B4E5F15" wp14:editId="08A29B7F">
                  <wp:extent cx="143209" cy="138197"/>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png"/>
                          <pic:cNvPicPr/>
                        </pic:nvPicPr>
                        <pic:blipFill>
                          <a:blip r:embed="rId19">
                            <a:extLst>
                              <a:ext uri="{28A0092B-C50C-407E-A947-70E740481C1C}">
                                <a14:useLocalDpi xmlns:a14="http://schemas.microsoft.com/office/drawing/2010/main" val="0"/>
                              </a:ext>
                            </a:extLst>
                          </a:blip>
                          <a:stretch>
                            <a:fillRect/>
                          </a:stretch>
                        </pic:blipFill>
                        <pic:spPr>
                          <a:xfrm>
                            <a:off x="0" y="0"/>
                            <a:ext cx="143552" cy="138528"/>
                          </a:xfrm>
                          <a:prstGeom prst="rect">
                            <a:avLst/>
                          </a:prstGeom>
                        </pic:spPr>
                      </pic:pic>
                    </a:graphicData>
                  </a:graphic>
                </wp:inline>
              </w:drawing>
            </w:r>
            <w:r>
              <w:rPr>
                <w:rFonts w:asciiTheme="majorHAnsi" w:eastAsia="Times New Roman" w:hAnsiTheme="majorHAnsi" w:cs="Arial"/>
                <w:b/>
                <w:color w:val="FF0000"/>
                <w:szCs w:val="20"/>
              </w:rPr>
              <w:t xml:space="preserve"> </w:t>
            </w:r>
            <w:r w:rsidRPr="009E0224">
              <w:rPr>
                <w:rFonts w:asciiTheme="majorHAnsi" w:eastAsia="Times New Roman" w:hAnsiTheme="majorHAnsi" w:cs="Arial"/>
                <w:b/>
                <w:color w:val="FF0000"/>
                <w:szCs w:val="20"/>
              </w:rPr>
              <w:t>ACTION ITEM:</w:t>
            </w:r>
            <w:r w:rsidRPr="005D163A">
              <w:rPr>
                <w:rFonts w:asciiTheme="majorHAnsi" w:eastAsia="Times New Roman" w:hAnsiTheme="majorHAnsi" w:cs="Arial"/>
                <w:b/>
                <w:color w:val="000000" w:themeColor="text1"/>
                <w:szCs w:val="20"/>
              </w:rPr>
              <w:t xml:space="preserve"> </w:t>
            </w:r>
            <w:r>
              <w:rPr>
                <w:rFonts w:asciiTheme="majorHAnsi" w:eastAsia="Times New Roman" w:hAnsiTheme="majorHAnsi" w:cs="Arial"/>
                <w:b/>
                <w:color w:val="000000" w:themeColor="text1"/>
                <w:szCs w:val="20"/>
              </w:rPr>
              <w:t>Biweekly payroll processing timeline change:</w:t>
            </w:r>
          </w:p>
          <w:p w14:paraId="05DAAFD0" w14:textId="681A510B" w:rsidR="009226C8" w:rsidRPr="009226C8" w:rsidRDefault="009226C8" w:rsidP="00AE03F6">
            <w:pPr>
              <w:rPr>
                <w:rFonts w:ascii="Calibri Light" w:eastAsia="Times New Roman" w:hAnsi="Calibri Light"/>
                <w:sz w:val="21"/>
                <w:szCs w:val="21"/>
              </w:rPr>
            </w:pPr>
            <w:r w:rsidRPr="009226C8">
              <w:rPr>
                <w:rFonts w:ascii="Calibri Light" w:eastAsia="Times New Roman" w:hAnsi="Calibri Light"/>
                <w:color w:val="000000"/>
                <w:sz w:val="21"/>
                <w:szCs w:val="21"/>
                <w:shd w:val="clear" w:color="auto" w:fill="FFFFFF"/>
              </w:rPr>
              <w:t>Due to the holiday season, financial institutions will be closed on Thanksgiving Day and the biweekly payroll pay date will remain on Friday, Nov. 24. To allow for adequate processing time, Payroll Services will accelerate the payroll processing deadline to Nov. 19. This means that</w:t>
            </w:r>
            <w:r w:rsidRPr="009226C8">
              <w:rPr>
                <w:rStyle w:val="apple-converted-space"/>
                <w:rFonts w:ascii="Calibri Light" w:eastAsia="Times New Roman" w:hAnsi="Calibri Light"/>
                <w:color w:val="000000"/>
                <w:sz w:val="21"/>
                <w:szCs w:val="21"/>
              </w:rPr>
              <w:t> </w:t>
            </w:r>
            <w:r w:rsidRPr="009226C8">
              <w:rPr>
                <w:rFonts w:ascii="Calibri Light" w:eastAsia="Times New Roman" w:hAnsi="Calibri Light"/>
                <w:color w:val="000000"/>
                <w:sz w:val="21"/>
                <w:szCs w:val="21"/>
              </w:rPr>
              <w:t>all timecards must be completed and approved no later than 5</w:t>
            </w:r>
            <w:r>
              <w:rPr>
                <w:rFonts w:ascii="Calibri Light" w:eastAsia="Times New Roman" w:hAnsi="Calibri Light"/>
                <w:color w:val="000000"/>
                <w:sz w:val="21"/>
                <w:szCs w:val="21"/>
              </w:rPr>
              <w:t xml:space="preserve"> </w:t>
            </w:r>
            <w:r w:rsidRPr="009226C8">
              <w:rPr>
                <w:rFonts w:ascii="Calibri Light" w:eastAsia="Times New Roman" w:hAnsi="Calibri Light"/>
                <w:color w:val="000000"/>
                <w:sz w:val="21"/>
                <w:szCs w:val="21"/>
              </w:rPr>
              <w:t>p.m. on Saturday, Nov. 18.</w:t>
            </w:r>
            <w:r w:rsidRPr="009226C8">
              <w:rPr>
                <w:rStyle w:val="apple-converted-space"/>
                <w:rFonts w:ascii="Calibri Light" w:eastAsia="Times New Roman" w:hAnsi="Calibri Light"/>
                <w:color w:val="000000"/>
                <w:sz w:val="21"/>
                <w:szCs w:val="21"/>
                <w:shd w:val="clear" w:color="auto" w:fill="FFFFFF"/>
              </w:rPr>
              <w:t> </w:t>
            </w:r>
            <w:r w:rsidRPr="009226C8">
              <w:rPr>
                <w:rFonts w:ascii="Calibri Light" w:eastAsia="Times New Roman" w:hAnsi="Calibri Light"/>
                <w:color w:val="000000"/>
                <w:sz w:val="21"/>
                <w:szCs w:val="21"/>
                <w:shd w:val="clear" w:color="auto" w:fill="FFFFFF"/>
              </w:rPr>
              <w:t>Departmental managers/timekeepers will not be permitted to edit timecards after this deadline for the pay period ending Nov. 17. Timekeeping errors will be resolved by historical edits and paid on the next regular on-cycle paycheck. For any questions or concerns, please contact your</w:t>
            </w:r>
            <w:r w:rsidRPr="009226C8">
              <w:rPr>
                <w:rStyle w:val="apple-converted-space"/>
                <w:rFonts w:ascii="Calibri Light" w:eastAsia="Times New Roman" w:hAnsi="Calibri Light"/>
                <w:color w:val="000000"/>
                <w:sz w:val="21"/>
                <w:szCs w:val="21"/>
                <w:shd w:val="clear" w:color="auto" w:fill="FFFFFF"/>
              </w:rPr>
              <w:t> </w:t>
            </w:r>
            <w:hyperlink r:id="rId20" w:history="1">
              <w:r w:rsidRPr="009226C8">
                <w:rPr>
                  <w:rStyle w:val="Hyperlink"/>
                  <w:rFonts w:ascii="Calibri Light" w:eastAsia="Times New Roman" w:hAnsi="Calibri Light"/>
                  <w:color w:val="FF0000"/>
                  <w:sz w:val="21"/>
                  <w:szCs w:val="21"/>
                </w:rPr>
                <w:t>Payroll Representative</w:t>
              </w:r>
            </w:hyperlink>
            <w:r w:rsidRPr="009226C8">
              <w:rPr>
                <w:rFonts w:ascii="Calibri Light" w:eastAsia="Times New Roman" w:hAnsi="Calibri Light"/>
                <w:color w:val="000000"/>
                <w:sz w:val="21"/>
                <w:szCs w:val="21"/>
                <w:shd w:val="clear" w:color="auto" w:fill="FFFFFF"/>
              </w:rPr>
              <w:t>.</w:t>
            </w:r>
          </w:p>
          <w:p w14:paraId="31977AE2" w14:textId="77777777" w:rsidR="009226C8" w:rsidRDefault="009226C8" w:rsidP="00AE03F6">
            <w:pPr>
              <w:rPr>
                <w:rFonts w:asciiTheme="majorHAnsi" w:eastAsia="Times New Roman" w:hAnsiTheme="majorHAnsi" w:cs="Arial"/>
                <w:b/>
                <w:color w:val="000000" w:themeColor="text1"/>
                <w:szCs w:val="20"/>
              </w:rPr>
            </w:pPr>
          </w:p>
          <w:p w14:paraId="14F30F25" w14:textId="6248C08C" w:rsidR="00AE03F6" w:rsidRPr="005D163A" w:rsidRDefault="007727F9" w:rsidP="00AE03F6">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Call for nominations:</w:t>
            </w:r>
          </w:p>
          <w:p w14:paraId="3DDA3FD6" w14:textId="77777777" w:rsidR="007727F9" w:rsidRDefault="007727F9" w:rsidP="007727F9">
            <w:pPr>
              <w:rPr>
                <w:rFonts w:ascii="Calibri Light" w:eastAsia="Times New Roman" w:hAnsi="Calibri Light" w:cs="Arial"/>
                <w:color w:val="000000"/>
                <w:sz w:val="21"/>
                <w:szCs w:val="21"/>
                <w:shd w:val="clear" w:color="auto" w:fill="FFFFFF"/>
              </w:rPr>
            </w:pPr>
            <w:r w:rsidRPr="007727F9">
              <w:rPr>
                <w:rFonts w:ascii="Calibri Light" w:eastAsia="Times New Roman" w:hAnsi="Calibri Light" w:cs="Arial"/>
                <w:color w:val="000000"/>
                <w:sz w:val="21"/>
                <w:szCs w:val="21"/>
                <w:shd w:val="clear" w:color="auto" w:fill="FFFFFF"/>
              </w:rPr>
              <w:t>Nominations are now being accepted for the 2018 Dr. Martin Luther King Jr. Community Service Award. Please consider nominating a UTMB employee or student who has a demonstrated record of promoting diversity, inclusion and civic engagement and has made a profound difference to the university and the greater community. The deadline for nominations is Dec. 15. The award recipients(s) will receive an honorary plaque and monetary prize at the annual MLK award ceremony and luncheon. See</w:t>
            </w:r>
            <w:r w:rsidRPr="007727F9">
              <w:rPr>
                <w:rStyle w:val="apple-converted-space"/>
                <w:rFonts w:ascii="Calibri Light" w:eastAsia="Times New Roman" w:hAnsi="Calibri Light" w:cs="Arial"/>
                <w:color w:val="000000"/>
                <w:sz w:val="21"/>
                <w:szCs w:val="21"/>
                <w:shd w:val="clear" w:color="auto" w:fill="FFFFFF"/>
              </w:rPr>
              <w:t> </w:t>
            </w:r>
            <w:proofErr w:type="spellStart"/>
            <w:r w:rsidR="004E6F81">
              <w:fldChar w:fldCharType="begin"/>
            </w:r>
            <w:r w:rsidR="004E6F81">
              <w:instrText xml:space="preserve"> HYPERLINK "http://intranet.utmb.edu/iutmb" </w:instrText>
            </w:r>
            <w:r w:rsidR="004E6F81">
              <w:fldChar w:fldCharType="separate"/>
            </w:r>
            <w:r w:rsidRPr="007727F9">
              <w:rPr>
                <w:rStyle w:val="Hyperlink"/>
                <w:rFonts w:ascii="Calibri Light" w:eastAsia="Times New Roman" w:hAnsi="Calibri Light" w:cs="Arial"/>
                <w:color w:val="EA2839"/>
                <w:sz w:val="21"/>
                <w:szCs w:val="21"/>
              </w:rPr>
              <w:t>iUTMB</w:t>
            </w:r>
            <w:proofErr w:type="spellEnd"/>
            <w:r w:rsidR="004E6F81">
              <w:rPr>
                <w:rStyle w:val="Hyperlink"/>
                <w:rFonts w:ascii="Calibri Light" w:eastAsia="Times New Roman" w:hAnsi="Calibri Light" w:cs="Arial"/>
                <w:color w:val="EA2839"/>
                <w:sz w:val="21"/>
                <w:szCs w:val="21"/>
              </w:rPr>
              <w:fldChar w:fldCharType="end"/>
            </w:r>
            <w:r w:rsidRPr="007727F9">
              <w:rPr>
                <w:rStyle w:val="apple-converted-space"/>
                <w:rFonts w:ascii="Calibri Light" w:eastAsia="Times New Roman" w:hAnsi="Calibri Light" w:cs="Arial"/>
                <w:color w:val="000000"/>
                <w:sz w:val="21"/>
                <w:szCs w:val="21"/>
                <w:shd w:val="clear" w:color="auto" w:fill="FFFFFF"/>
              </w:rPr>
              <w:t> </w:t>
            </w:r>
            <w:r w:rsidRPr="007727F9">
              <w:rPr>
                <w:rFonts w:ascii="Calibri Light" w:eastAsia="Times New Roman" w:hAnsi="Calibri Light" w:cs="Arial"/>
                <w:color w:val="000000"/>
                <w:sz w:val="21"/>
                <w:szCs w:val="21"/>
                <w:shd w:val="clear" w:color="auto" w:fill="FFFFFF"/>
              </w:rPr>
              <w:t>for more information or to submit a nomination.</w:t>
            </w:r>
          </w:p>
          <w:p w14:paraId="5A6F13A1" w14:textId="77777777" w:rsidR="007727F9" w:rsidRDefault="007727F9" w:rsidP="007727F9">
            <w:pPr>
              <w:rPr>
                <w:rFonts w:ascii="Calibri Light" w:eastAsia="Times New Roman" w:hAnsi="Calibri Light" w:cs="Arial"/>
                <w:color w:val="000000"/>
                <w:sz w:val="21"/>
                <w:szCs w:val="21"/>
                <w:shd w:val="clear" w:color="auto" w:fill="FFFFFF"/>
              </w:rPr>
            </w:pPr>
          </w:p>
          <w:p w14:paraId="23A4C7E8" w14:textId="4CC6A996" w:rsidR="007727F9" w:rsidRPr="005D163A" w:rsidRDefault="007727F9" w:rsidP="007727F9">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Holiday meals for employees:</w:t>
            </w:r>
          </w:p>
          <w:p w14:paraId="71D742F2" w14:textId="7C64C71D" w:rsidR="007727F9" w:rsidRPr="007727F9" w:rsidRDefault="007727F9" w:rsidP="007727F9">
            <w:pPr>
              <w:rPr>
                <w:rFonts w:ascii="Calibri Light" w:hAnsi="Calibri Light"/>
                <w:color w:val="000000"/>
                <w:sz w:val="21"/>
                <w:szCs w:val="21"/>
              </w:rPr>
            </w:pPr>
            <w:r w:rsidRPr="007727F9">
              <w:rPr>
                <w:rFonts w:ascii="Calibri Light" w:hAnsi="Calibri Light" w:cs="Arial"/>
                <w:color w:val="000000"/>
                <w:sz w:val="21"/>
                <w:szCs w:val="21"/>
              </w:rPr>
              <w:t>Employees working on Thanksgiving Day, Nov. 23, will receive a complimentary meal (UTMB ID badge required). Locations and times for each campus are:</w:t>
            </w:r>
          </w:p>
          <w:p w14:paraId="6A302BC2" w14:textId="77777777" w:rsidR="007727F9" w:rsidRPr="007727F9" w:rsidRDefault="007727F9" w:rsidP="007727F9">
            <w:pPr>
              <w:ind w:left="360"/>
              <w:rPr>
                <w:rFonts w:ascii="Calibri Light" w:hAnsi="Calibri Light"/>
                <w:color w:val="000000"/>
                <w:sz w:val="21"/>
                <w:szCs w:val="21"/>
              </w:rPr>
            </w:pPr>
            <w:r w:rsidRPr="007727F9">
              <w:rPr>
                <w:rFonts w:ascii="Calibri" w:hAnsi="Calibri" w:cs="Arial"/>
                <w:b/>
                <w:bCs/>
                <w:color w:val="000000"/>
                <w:sz w:val="21"/>
                <w:szCs w:val="21"/>
              </w:rPr>
              <w:t>Galveston: </w:t>
            </w:r>
            <w:r w:rsidRPr="007727F9">
              <w:rPr>
                <w:rFonts w:ascii="Calibri Light" w:hAnsi="Calibri Light" w:cs="Arial"/>
                <w:color w:val="000000"/>
                <w:sz w:val="21"/>
                <w:szCs w:val="21"/>
              </w:rPr>
              <w:t>CSW 6th Floor Employee Dining Room (Room 6.402)</w:t>
            </w:r>
          </w:p>
          <w:p w14:paraId="550B9667" w14:textId="4137ABC1" w:rsidR="007727F9" w:rsidRPr="007727F9" w:rsidRDefault="007727F9" w:rsidP="007727F9">
            <w:pPr>
              <w:pStyle w:val="ListParagraph"/>
              <w:numPr>
                <w:ilvl w:val="0"/>
                <w:numId w:val="10"/>
              </w:numPr>
              <w:rPr>
                <w:rFonts w:ascii="Calibri Light" w:hAnsi="Calibri Light"/>
                <w:color w:val="000000"/>
                <w:sz w:val="21"/>
                <w:szCs w:val="21"/>
              </w:rPr>
            </w:pPr>
            <w:r w:rsidRPr="007727F9">
              <w:rPr>
                <w:rFonts w:ascii="Calibri Light" w:hAnsi="Calibri Light" w:cs="Arial"/>
                <w:color w:val="000000"/>
                <w:sz w:val="21"/>
                <w:szCs w:val="21"/>
              </w:rPr>
              <w:t>Day shift: 11 a.m. to 1 p.m.</w:t>
            </w:r>
          </w:p>
          <w:p w14:paraId="3895E0F5" w14:textId="0FC4EDA6" w:rsidR="007727F9" w:rsidRPr="007727F9" w:rsidRDefault="007727F9" w:rsidP="007727F9">
            <w:pPr>
              <w:pStyle w:val="ListParagraph"/>
              <w:numPr>
                <w:ilvl w:val="0"/>
                <w:numId w:val="10"/>
              </w:numPr>
              <w:rPr>
                <w:rFonts w:ascii="Calibri Light" w:hAnsi="Calibri Light"/>
                <w:color w:val="000000"/>
                <w:sz w:val="21"/>
                <w:szCs w:val="21"/>
              </w:rPr>
            </w:pPr>
            <w:r w:rsidRPr="007727F9">
              <w:rPr>
                <w:rFonts w:ascii="Calibri Light" w:hAnsi="Calibri Light" w:cs="Arial"/>
                <w:color w:val="000000"/>
                <w:sz w:val="21"/>
                <w:szCs w:val="21"/>
              </w:rPr>
              <w:t>Night shift: 7 to 9 p.m.</w:t>
            </w:r>
          </w:p>
          <w:p w14:paraId="68E3F44A" w14:textId="77777777" w:rsidR="007727F9" w:rsidRPr="007727F9" w:rsidRDefault="007727F9" w:rsidP="007727F9">
            <w:pPr>
              <w:ind w:left="360"/>
              <w:rPr>
                <w:rFonts w:ascii="Calibri Light" w:hAnsi="Calibri Light"/>
                <w:color w:val="000000"/>
                <w:sz w:val="21"/>
                <w:szCs w:val="21"/>
              </w:rPr>
            </w:pPr>
            <w:r w:rsidRPr="007727F9">
              <w:rPr>
                <w:rFonts w:ascii="Calibri" w:hAnsi="Calibri" w:cs="Arial"/>
                <w:b/>
                <w:bCs/>
                <w:color w:val="000000"/>
                <w:sz w:val="21"/>
                <w:szCs w:val="21"/>
              </w:rPr>
              <w:t>League City: </w:t>
            </w:r>
            <w:r w:rsidRPr="007727F9">
              <w:rPr>
                <w:rFonts w:ascii="Calibri Light" w:hAnsi="Calibri Light" w:cs="Arial"/>
                <w:color w:val="000000"/>
                <w:sz w:val="21"/>
                <w:szCs w:val="21"/>
              </w:rPr>
              <w:t>Room 3.416 (Resident Room, hospital side)</w:t>
            </w:r>
          </w:p>
          <w:p w14:paraId="0C1F9A32" w14:textId="485DB4E2" w:rsidR="007727F9" w:rsidRPr="007727F9" w:rsidRDefault="007727F9" w:rsidP="007727F9">
            <w:pPr>
              <w:pStyle w:val="ListParagraph"/>
              <w:numPr>
                <w:ilvl w:val="0"/>
                <w:numId w:val="11"/>
              </w:numPr>
              <w:rPr>
                <w:rFonts w:ascii="Calibri Light" w:hAnsi="Calibri Light"/>
                <w:color w:val="000000"/>
                <w:sz w:val="21"/>
                <w:szCs w:val="21"/>
              </w:rPr>
            </w:pPr>
            <w:r w:rsidRPr="007727F9">
              <w:rPr>
                <w:rFonts w:ascii="Calibri Light" w:hAnsi="Calibri Light" w:cs="Arial"/>
                <w:color w:val="000000"/>
                <w:sz w:val="21"/>
                <w:szCs w:val="21"/>
              </w:rPr>
              <w:t>Day shift: 11 a.m. to 1 p.m.</w:t>
            </w:r>
          </w:p>
          <w:p w14:paraId="336B2570" w14:textId="4DF125AE" w:rsidR="007727F9" w:rsidRPr="007727F9" w:rsidRDefault="007727F9" w:rsidP="007727F9">
            <w:pPr>
              <w:pStyle w:val="ListParagraph"/>
              <w:numPr>
                <w:ilvl w:val="0"/>
                <w:numId w:val="11"/>
              </w:numPr>
              <w:rPr>
                <w:rFonts w:ascii="Calibri Light" w:hAnsi="Calibri Light"/>
                <w:color w:val="000000"/>
                <w:sz w:val="21"/>
                <w:szCs w:val="21"/>
              </w:rPr>
            </w:pPr>
            <w:r w:rsidRPr="007727F9">
              <w:rPr>
                <w:rFonts w:ascii="Calibri Light" w:hAnsi="Calibri Light" w:cs="Arial"/>
                <w:color w:val="000000"/>
                <w:sz w:val="21"/>
                <w:szCs w:val="21"/>
              </w:rPr>
              <w:t>Night shift: 7 to 9 p.m.</w:t>
            </w:r>
          </w:p>
          <w:p w14:paraId="30881926" w14:textId="77777777" w:rsidR="007727F9" w:rsidRPr="007727F9" w:rsidRDefault="007727F9" w:rsidP="007727F9">
            <w:pPr>
              <w:ind w:left="360"/>
              <w:rPr>
                <w:rFonts w:ascii="Calibri Light" w:hAnsi="Calibri Light"/>
                <w:color w:val="000000"/>
                <w:sz w:val="21"/>
                <w:szCs w:val="21"/>
              </w:rPr>
            </w:pPr>
            <w:r w:rsidRPr="007727F9">
              <w:rPr>
                <w:rFonts w:ascii="Calibri" w:hAnsi="Calibri" w:cs="Arial"/>
                <w:b/>
                <w:bCs/>
                <w:color w:val="000000"/>
                <w:sz w:val="21"/>
                <w:szCs w:val="21"/>
              </w:rPr>
              <w:t>Angleton Danbury: </w:t>
            </w:r>
            <w:r w:rsidRPr="007727F9">
              <w:rPr>
                <w:rFonts w:ascii="Calibri Light" w:hAnsi="Calibri Light" w:cs="Arial"/>
                <w:color w:val="000000"/>
                <w:sz w:val="21"/>
                <w:szCs w:val="21"/>
              </w:rPr>
              <w:t>Café Bayou</w:t>
            </w:r>
          </w:p>
          <w:p w14:paraId="70398A03" w14:textId="282CCB9F" w:rsidR="007727F9" w:rsidRPr="007727F9" w:rsidRDefault="007727F9" w:rsidP="007727F9">
            <w:pPr>
              <w:pStyle w:val="ListParagraph"/>
              <w:numPr>
                <w:ilvl w:val="0"/>
                <w:numId w:val="12"/>
              </w:numPr>
              <w:rPr>
                <w:rFonts w:ascii="Calibri Light" w:hAnsi="Calibri Light"/>
                <w:color w:val="000000"/>
                <w:sz w:val="21"/>
                <w:szCs w:val="21"/>
              </w:rPr>
            </w:pPr>
            <w:r w:rsidRPr="007727F9">
              <w:rPr>
                <w:rFonts w:ascii="Calibri Light" w:hAnsi="Calibri Light" w:cs="Arial"/>
                <w:color w:val="000000"/>
                <w:sz w:val="21"/>
                <w:szCs w:val="21"/>
              </w:rPr>
              <w:t>Day shift: 11 a.m. to 2 p.m.</w:t>
            </w:r>
          </w:p>
          <w:p w14:paraId="6A7092AB" w14:textId="598C4C3B" w:rsidR="007727F9" w:rsidRPr="007727F9" w:rsidRDefault="007727F9" w:rsidP="007727F9">
            <w:pPr>
              <w:pStyle w:val="ListParagraph"/>
              <w:numPr>
                <w:ilvl w:val="0"/>
                <w:numId w:val="12"/>
              </w:numPr>
              <w:rPr>
                <w:rFonts w:ascii="Calibri Light" w:hAnsi="Calibri Light"/>
                <w:color w:val="000000"/>
                <w:sz w:val="21"/>
                <w:szCs w:val="21"/>
              </w:rPr>
            </w:pPr>
            <w:r w:rsidRPr="007727F9">
              <w:rPr>
                <w:rFonts w:ascii="Calibri Light" w:hAnsi="Calibri Light" w:cs="Arial"/>
                <w:color w:val="000000"/>
                <w:sz w:val="21"/>
                <w:szCs w:val="21"/>
              </w:rPr>
              <w:t>Night shift: Boxed dinners delivered to units</w:t>
            </w:r>
          </w:p>
          <w:p w14:paraId="7250DFC0" w14:textId="77777777" w:rsidR="007727F9" w:rsidRPr="007727F9" w:rsidRDefault="007727F9" w:rsidP="007727F9">
            <w:pPr>
              <w:rPr>
                <w:rFonts w:ascii="Calibri Light" w:eastAsia="Times New Roman" w:hAnsi="Calibri Light"/>
                <w:sz w:val="21"/>
                <w:szCs w:val="21"/>
              </w:rPr>
            </w:pPr>
          </w:p>
          <w:p w14:paraId="57E5A318" w14:textId="77777777" w:rsidR="004C3912" w:rsidRDefault="004C3912" w:rsidP="00F90195">
            <w:pPr>
              <w:rPr>
                <w:rFonts w:ascii="Calibri Light" w:eastAsia="Times New Roman" w:hAnsi="Calibri Light"/>
                <w:sz w:val="21"/>
                <w:szCs w:val="21"/>
              </w:rPr>
            </w:pPr>
          </w:p>
          <w:p w14:paraId="5FE6F31A" w14:textId="77777777" w:rsidR="008917C8" w:rsidRDefault="008917C8" w:rsidP="00F90195">
            <w:pPr>
              <w:rPr>
                <w:rFonts w:ascii="Calibri Light" w:eastAsia="Times New Roman" w:hAnsi="Calibri Light"/>
                <w:sz w:val="21"/>
                <w:szCs w:val="21"/>
              </w:rPr>
            </w:pPr>
          </w:p>
          <w:p w14:paraId="3A090948" w14:textId="77777777" w:rsidR="008917C8" w:rsidRDefault="008917C8" w:rsidP="00F90195">
            <w:pPr>
              <w:rPr>
                <w:rFonts w:ascii="Calibri Light" w:eastAsia="Times New Roman" w:hAnsi="Calibri Light"/>
                <w:sz w:val="21"/>
                <w:szCs w:val="21"/>
              </w:rPr>
            </w:pPr>
          </w:p>
          <w:p w14:paraId="07B5EB06" w14:textId="77777777" w:rsidR="008917C8" w:rsidRDefault="008917C8" w:rsidP="00F90195">
            <w:pPr>
              <w:rPr>
                <w:rFonts w:ascii="Calibri Light" w:eastAsia="Times New Roman" w:hAnsi="Calibri Light"/>
                <w:sz w:val="21"/>
                <w:szCs w:val="21"/>
              </w:rPr>
            </w:pPr>
          </w:p>
          <w:p w14:paraId="6905ECD1" w14:textId="77777777" w:rsidR="008917C8" w:rsidRDefault="008917C8" w:rsidP="00F90195">
            <w:pPr>
              <w:rPr>
                <w:rFonts w:ascii="Calibri Light" w:eastAsia="Times New Roman" w:hAnsi="Calibri Light"/>
                <w:sz w:val="21"/>
                <w:szCs w:val="21"/>
              </w:rPr>
            </w:pPr>
          </w:p>
          <w:p w14:paraId="323B89CA" w14:textId="77777777" w:rsidR="008917C8" w:rsidRDefault="008917C8" w:rsidP="008917C8">
            <w:pPr>
              <w:rPr>
                <w:rFonts w:ascii="Calibri Light" w:eastAsia="Times New Roman" w:hAnsi="Calibri Light"/>
              </w:rPr>
            </w:pPr>
          </w:p>
          <w:p w14:paraId="3121DE9A" w14:textId="77777777" w:rsidR="008917C8" w:rsidRDefault="008917C8" w:rsidP="008917C8">
            <w:pPr>
              <w:spacing w:before="120"/>
              <w:rPr>
                <w:rFonts w:ascii="Calibri Light" w:hAnsi="Calibri Light" w:cs="Arial"/>
                <w:bCs/>
                <w:color w:val="000000"/>
                <w:sz w:val="20"/>
                <w:szCs w:val="20"/>
              </w:rPr>
            </w:pPr>
            <w:r>
              <w:rPr>
                <w:rFonts w:asciiTheme="majorHAnsi" w:hAnsiTheme="majorHAnsi"/>
                <w:noProof/>
                <w:sz w:val="20"/>
              </w:rPr>
              <w:lastRenderedPageBreak/>
              <w:drawing>
                <wp:anchor distT="0" distB="0" distL="114300" distR="114300" simplePos="0" relativeHeight="251772416" behindDoc="0" locked="0" layoutInCell="1" allowOverlap="1" wp14:anchorId="03D4CCD5" wp14:editId="15C2B9A9">
                  <wp:simplePos x="0" y="0"/>
                  <wp:positionH relativeFrom="column">
                    <wp:posOffset>-40005</wp:posOffset>
                  </wp:positionH>
                  <wp:positionV relativeFrom="paragraph">
                    <wp:posOffset>50930</wp:posOffset>
                  </wp:positionV>
                  <wp:extent cx="266700" cy="227330"/>
                  <wp:effectExtent l="0" t="0" r="1270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5">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The Joint Commission Hot Topics:</w:t>
            </w:r>
            <w:r>
              <w:rPr>
                <w:rFonts w:ascii="Calibri Light" w:hAnsi="Calibri Light" w:cs="Arial"/>
                <w:bCs/>
                <w:color w:val="000000"/>
                <w:sz w:val="20"/>
                <w:szCs w:val="20"/>
              </w:rPr>
              <w:t xml:space="preserve"> </w:t>
            </w:r>
          </w:p>
          <w:p w14:paraId="0888111A" w14:textId="01908556" w:rsidR="00F55E5D" w:rsidRPr="008917C8" w:rsidRDefault="008917C8" w:rsidP="00F55E5D">
            <w:pPr>
              <w:rPr>
                <w:rFonts w:ascii="Calibri Light" w:eastAsia="Times New Roman" w:hAnsi="Calibri Light"/>
                <w:sz w:val="21"/>
                <w:szCs w:val="21"/>
              </w:rPr>
            </w:pPr>
            <w:r w:rsidRPr="000F2999">
              <w:rPr>
                <w:rFonts w:ascii="Calibri Light" w:eastAsia="Times New Roman" w:hAnsi="Calibri Light" w:cs="Arial"/>
                <w:color w:val="000000"/>
                <w:sz w:val="21"/>
                <w:szCs w:val="21"/>
                <w:shd w:val="clear" w:color="auto" w:fill="FFFFFF"/>
              </w:rPr>
              <w:t xml:space="preserve">The “Top 10 Compliance Standards for the First Half of 2017” is now available on the UTMB Joint Commission web page. The Top 10 list includes findings for fire protection, utility systems, risk of infection, </w:t>
            </w:r>
            <w:proofErr w:type="gramStart"/>
            <w:r w:rsidRPr="000F2999">
              <w:rPr>
                <w:rFonts w:ascii="Calibri Light" w:eastAsia="Times New Roman" w:hAnsi="Calibri Light" w:cs="Arial"/>
                <w:color w:val="000000"/>
                <w:sz w:val="21"/>
                <w:szCs w:val="21"/>
                <w:shd w:val="clear" w:color="auto" w:fill="FFFFFF"/>
              </w:rPr>
              <w:t>environment</w:t>
            </w:r>
            <w:proofErr w:type="gramEnd"/>
            <w:r w:rsidRPr="000F2999">
              <w:rPr>
                <w:rFonts w:ascii="Calibri Light" w:eastAsia="Times New Roman" w:hAnsi="Calibri Light" w:cs="Arial"/>
                <w:color w:val="000000"/>
                <w:sz w:val="21"/>
                <w:szCs w:val="21"/>
                <w:shd w:val="clear" w:color="auto" w:fill="FFFFFF"/>
              </w:rPr>
              <w:t xml:space="preserve"> of care, hazardous waste and the maintenance of accurate medical records. The current window for a full TJC Accreditation Survey will last until November 2018. Please visit </w:t>
            </w:r>
            <w:hyperlink r:id="rId21" w:history="1">
              <w:r w:rsidRPr="00B6331C">
                <w:rPr>
                  <w:rFonts w:ascii="Calibri Light" w:eastAsia="Times New Roman" w:hAnsi="Calibri Light" w:cs="Arial"/>
                  <w:color w:val="FF0000"/>
                  <w:sz w:val="21"/>
                  <w:szCs w:val="21"/>
                  <w:u w:val="single"/>
                </w:rPr>
                <w:t>http://intranet.utmb.edu/QHS/TheJointCommission</w:t>
              </w:r>
            </w:hyperlink>
            <w:r w:rsidRPr="000F2999">
              <w:rPr>
                <w:rFonts w:ascii="Calibri Light" w:eastAsia="Times New Roman" w:hAnsi="Calibri Light" w:cs="Arial"/>
                <w:color w:val="000000"/>
                <w:sz w:val="21"/>
                <w:szCs w:val="21"/>
                <w:shd w:val="clear" w:color="auto" w:fill="FFFFFF"/>
              </w:rPr>
              <w:t> </w:t>
            </w:r>
            <w:r w:rsidR="00B6331C">
              <w:rPr>
                <w:rFonts w:ascii="Calibri Light" w:eastAsia="Times New Roman" w:hAnsi="Calibri Light" w:cs="Arial"/>
                <w:color w:val="000000"/>
                <w:sz w:val="21"/>
                <w:szCs w:val="21"/>
                <w:shd w:val="clear" w:color="auto" w:fill="FFFFFF"/>
              </w:rPr>
              <w:t xml:space="preserve">  </w:t>
            </w:r>
            <w:r w:rsidRPr="000F2999">
              <w:rPr>
                <w:rFonts w:ascii="Calibri Light" w:eastAsia="Times New Roman" w:hAnsi="Calibri Light" w:cs="Arial"/>
                <w:color w:val="000000"/>
                <w:sz w:val="21"/>
                <w:szCs w:val="21"/>
                <w:shd w:val="clear" w:color="auto" w:fill="FFFFFF"/>
              </w:rPr>
              <w:t>for the latest Hot Topics, Spotlights, checklists, logs and more.</w:t>
            </w:r>
          </w:p>
          <w:p w14:paraId="6704CDA3" w14:textId="77777777" w:rsidR="00F55E5D" w:rsidRDefault="00F55E5D" w:rsidP="00F55E5D">
            <w:pPr>
              <w:rPr>
                <w:rFonts w:ascii="Calibri Light" w:eastAsia="Times New Roman" w:hAnsi="Calibri Light"/>
                <w:color w:val="000000"/>
                <w:sz w:val="21"/>
                <w:szCs w:val="21"/>
              </w:rPr>
            </w:pPr>
            <w:r>
              <w:rPr>
                <w:rFonts w:asciiTheme="majorHAnsi" w:hAnsiTheme="majorHAnsi"/>
                <w:noProof/>
                <w:sz w:val="20"/>
              </w:rPr>
              <w:drawing>
                <wp:anchor distT="0" distB="0" distL="114300" distR="114300" simplePos="0" relativeHeight="251767296" behindDoc="0" locked="0" layoutInCell="1" allowOverlap="1" wp14:anchorId="3BB6D0D8" wp14:editId="6F76D305">
                  <wp:simplePos x="0" y="0"/>
                  <wp:positionH relativeFrom="column">
                    <wp:posOffset>-5715</wp:posOffset>
                  </wp:positionH>
                  <wp:positionV relativeFrom="paragraph">
                    <wp:posOffset>114857</wp:posOffset>
                  </wp:positionV>
                  <wp:extent cx="257175" cy="25146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8">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p>
          <w:p w14:paraId="3E51D316" w14:textId="77777777" w:rsidR="00F55E5D" w:rsidRPr="00814D06" w:rsidRDefault="00F55E5D" w:rsidP="00F55E5D">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 xml:space="preserve">        CMC—Hospital Galveston metrics:</w:t>
            </w:r>
          </w:p>
          <w:p w14:paraId="641BC9E8" w14:textId="77777777" w:rsidR="00F55E5D" w:rsidRPr="000F2999" w:rsidRDefault="00F55E5D" w:rsidP="00F55E5D">
            <w:pPr>
              <w:rPr>
                <w:rFonts w:ascii="Calibri Light" w:eastAsia="Times New Roman" w:hAnsi="Calibri Light"/>
                <w:sz w:val="21"/>
                <w:szCs w:val="21"/>
              </w:rPr>
            </w:pPr>
            <w:r w:rsidRPr="000F2999">
              <w:rPr>
                <w:rFonts w:ascii="Calibri Light" w:eastAsia="Times New Roman" w:hAnsi="Calibri Light" w:cs="Arial"/>
                <w:color w:val="000000"/>
                <w:sz w:val="21"/>
                <w:szCs w:val="21"/>
                <w:shd w:val="clear" w:color="auto" w:fill="FFFFFF"/>
              </w:rPr>
              <w:t>Below are the metrics for Hospital Galveston. As a reminder, our goal is to increase the number of discharges, decrease the average length of stay (ALOS) and increase the Case Mix Index under new reimbursement guidelines mandated for Hospital Galveston (HG) by the State Legislature.</w:t>
            </w:r>
          </w:p>
          <w:p w14:paraId="191DBE19" w14:textId="77777777" w:rsidR="00F55E5D" w:rsidRDefault="00F55E5D" w:rsidP="00F55E5D">
            <w:pPr>
              <w:rPr>
                <w:rFonts w:ascii="Calibri Light" w:eastAsia="Times New Roman" w:hAnsi="Calibri Light"/>
              </w:rPr>
            </w:pPr>
            <w:r>
              <w:rPr>
                <w:rFonts w:ascii="Calibri Light" w:eastAsia="Times New Roman" w:hAnsi="Calibri Light"/>
                <w:noProof/>
              </w:rPr>
              <w:drawing>
                <wp:inline distT="0" distB="0" distL="0" distR="0" wp14:anchorId="3C8A5DE1" wp14:editId="090A316E">
                  <wp:extent cx="3202849" cy="927782"/>
                  <wp:effectExtent l="0" t="0" r="0" b="12065"/>
                  <wp:docPr id="8" name="Picture 8" descr="../../../Screen%20Shot%202017-11-15%20at%202.00.45%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20Shot%202017-11-15%20at%202.00.45%20P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19378" cy="932570"/>
                          </a:xfrm>
                          <a:prstGeom prst="rect">
                            <a:avLst/>
                          </a:prstGeom>
                          <a:noFill/>
                          <a:ln>
                            <a:noFill/>
                          </a:ln>
                        </pic:spPr>
                      </pic:pic>
                    </a:graphicData>
                  </a:graphic>
                </wp:inline>
              </w:drawing>
            </w:r>
          </w:p>
          <w:p w14:paraId="25127F61" w14:textId="77777777" w:rsidR="00F55E5D" w:rsidRDefault="00F55E5D" w:rsidP="00F55E5D">
            <w:pPr>
              <w:rPr>
                <w:rFonts w:ascii="Calibri Light" w:eastAsia="Times New Roman" w:hAnsi="Calibri Light"/>
                <w:color w:val="000000"/>
                <w:sz w:val="21"/>
                <w:szCs w:val="21"/>
              </w:rPr>
            </w:pPr>
            <w:r>
              <w:rPr>
                <w:rFonts w:asciiTheme="majorHAnsi" w:hAnsiTheme="majorHAnsi"/>
                <w:noProof/>
                <w:sz w:val="20"/>
              </w:rPr>
              <w:drawing>
                <wp:anchor distT="0" distB="0" distL="114300" distR="114300" simplePos="0" relativeHeight="251768320" behindDoc="0" locked="0" layoutInCell="1" allowOverlap="1" wp14:anchorId="74BD8A02" wp14:editId="266457DA">
                  <wp:simplePos x="0" y="0"/>
                  <wp:positionH relativeFrom="column">
                    <wp:posOffset>-5715</wp:posOffset>
                  </wp:positionH>
                  <wp:positionV relativeFrom="paragraph">
                    <wp:posOffset>114857</wp:posOffset>
                  </wp:positionV>
                  <wp:extent cx="257175" cy="251460"/>
                  <wp:effectExtent l="0" t="0" r="0"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8">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p>
          <w:p w14:paraId="51AD6BDA" w14:textId="77777777" w:rsidR="00F55E5D" w:rsidRPr="00814D06" w:rsidRDefault="00F55E5D" w:rsidP="00F55E5D">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 xml:space="preserve">        CMC—AD </w:t>
            </w:r>
            <w:proofErr w:type="spellStart"/>
            <w:r>
              <w:rPr>
                <w:rFonts w:asciiTheme="majorHAnsi" w:eastAsia="Times New Roman" w:hAnsiTheme="majorHAnsi" w:cs="Arial"/>
                <w:b/>
                <w:color w:val="000000" w:themeColor="text1"/>
                <w:szCs w:val="20"/>
              </w:rPr>
              <w:t>Seg</w:t>
            </w:r>
            <w:proofErr w:type="spellEnd"/>
            <w:r>
              <w:rPr>
                <w:rFonts w:asciiTheme="majorHAnsi" w:eastAsia="Times New Roman" w:hAnsiTheme="majorHAnsi" w:cs="Arial"/>
                <w:b/>
                <w:color w:val="000000" w:themeColor="text1"/>
                <w:szCs w:val="20"/>
              </w:rPr>
              <w:t xml:space="preserve"> term changed to Restrictive Housing in Pearl:</w:t>
            </w:r>
          </w:p>
          <w:p w14:paraId="050F6C35" w14:textId="77777777" w:rsidR="00F55E5D" w:rsidRDefault="00F55E5D" w:rsidP="00F55E5D">
            <w:pPr>
              <w:rPr>
                <w:rFonts w:ascii="Calibri Light" w:eastAsia="Times New Roman" w:hAnsi="Calibri Light" w:cs="Arial"/>
                <w:color w:val="000000"/>
                <w:sz w:val="21"/>
                <w:szCs w:val="21"/>
                <w:shd w:val="clear" w:color="auto" w:fill="FFFFFF"/>
              </w:rPr>
            </w:pPr>
            <w:r w:rsidRPr="000F2999">
              <w:rPr>
                <w:rFonts w:ascii="Calibri Light" w:eastAsia="Times New Roman" w:hAnsi="Calibri Light" w:cs="Arial"/>
                <w:color w:val="000000"/>
                <w:sz w:val="21"/>
                <w:szCs w:val="21"/>
                <w:shd w:val="clear" w:color="auto" w:fill="FFFFFF"/>
              </w:rPr>
              <w:t xml:space="preserve">A recent change in policy necessitated the following change in Pearl EHR. All instances of the term “administrative segregation” or “ad </w:t>
            </w:r>
            <w:proofErr w:type="spellStart"/>
            <w:r w:rsidRPr="000F2999">
              <w:rPr>
                <w:rFonts w:ascii="Calibri Light" w:eastAsia="Times New Roman" w:hAnsi="Calibri Light" w:cs="Arial"/>
                <w:color w:val="000000"/>
                <w:sz w:val="21"/>
                <w:szCs w:val="21"/>
                <w:shd w:val="clear" w:color="auto" w:fill="FFFFFF"/>
              </w:rPr>
              <w:t>seg</w:t>
            </w:r>
            <w:proofErr w:type="spellEnd"/>
            <w:r w:rsidRPr="000F2999">
              <w:rPr>
                <w:rFonts w:ascii="Calibri Light" w:eastAsia="Times New Roman" w:hAnsi="Calibri Light" w:cs="Arial"/>
                <w:color w:val="000000"/>
                <w:sz w:val="21"/>
                <w:szCs w:val="21"/>
                <w:shd w:val="clear" w:color="auto" w:fill="FFFFFF"/>
              </w:rPr>
              <w:t xml:space="preserve">” will be or have been changed to the new term “Restrictive Housing.” This includes orders, reminders, templates and any other reference to segregation as a term. The change may also include abbreviated version(s) of the term such as “RH” or “Res </w:t>
            </w:r>
            <w:proofErr w:type="spellStart"/>
            <w:r w:rsidRPr="000F2999">
              <w:rPr>
                <w:rFonts w:ascii="Calibri Light" w:eastAsia="Times New Roman" w:hAnsi="Calibri Light" w:cs="Arial"/>
                <w:color w:val="000000"/>
                <w:sz w:val="21"/>
                <w:szCs w:val="21"/>
                <w:shd w:val="clear" w:color="auto" w:fill="FFFFFF"/>
              </w:rPr>
              <w:t>Hous</w:t>
            </w:r>
            <w:proofErr w:type="spellEnd"/>
            <w:r w:rsidRPr="000F2999">
              <w:rPr>
                <w:rFonts w:ascii="Calibri Light" w:eastAsia="Times New Roman" w:hAnsi="Calibri Light" w:cs="Arial"/>
                <w:color w:val="000000"/>
                <w:sz w:val="21"/>
                <w:szCs w:val="21"/>
                <w:shd w:val="clear" w:color="auto" w:fill="FFFFFF"/>
              </w:rPr>
              <w:t>,” etc., based on the character limits in the field.</w:t>
            </w:r>
          </w:p>
          <w:p w14:paraId="67171144" w14:textId="77777777" w:rsidR="008917C8" w:rsidRDefault="008917C8" w:rsidP="00F55E5D">
            <w:pPr>
              <w:rPr>
                <w:rFonts w:ascii="Calibri Light" w:eastAsia="Times New Roman" w:hAnsi="Calibri Light" w:cs="Arial"/>
                <w:color w:val="000000"/>
                <w:sz w:val="21"/>
                <w:szCs w:val="21"/>
                <w:shd w:val="clear" w:color="auto" w:fill="FFFFFF"/>
              </w:rPr>
            </w:pPr>
          </w:p>
          <w:p w14:paraId="7AFE4267" w14:textId="77777777" w:rsidR="008917C8" w:rsidRDefault="008917C8" w:rsidP="00F55E5D">
            <w:pPr>
              <w:rPr>
                <w:rFonts w:ascii="Calibri Light" w:eastAsia="Times New Roman" w:hAnsi="Calibri Light" w:cs="Arial"/>
                <w:color w:val="000000"/>
                <w:sz w:val="21"/>
                <w:szCs w:val="21"/>
                <w:shd w:val="clear" w:color="auto" w:fill="FFFFFF"/>
              </w:rPr>
            </w:pPr>
          </w:p>
          <w:p w14:paraId="07466E6B" w14:textId="77777777" w:rsidR="008917C8" w:rsidRDefault="008917C8" w:rsidP="00F55E5D">
            <w:pPr>
              <w:rPr>
                <w:rFonts w:ascii="Calibri Light" w:eastAsia="Times New Roman" w:hAnsi="Calibri Light" w:cs="Arial"/>
                <w:color w:val="000000"/>
                <w:sz w:val="21"/>
                <w:szCs w:val="21"/>
                <w:shd w:val="clear" w:color="auto" w:fill="FFFFFF"/>
              </w:rPr>
            </w:pPr>
          </w:p>
          <w:p w14:paraId="3406C23C" w14:textId="77777777" w:rsidR="008917C8" w:rsidRDefault="008917C8" w:rsidP="00F55E5D">
            <w:pPr>
              <w:rPr>
                <w:rFonts w:ascii="Calibri Light" w:eastAsia="Times New Roman" w:hAnsi="Calibri Light" w:cs="Arial"/>
                <w:color w:val="000000"/>
                <w:sz w:val="21"/>
                <w:szCs w:val="21"/>
                <w:shd w:val="clear" w:color="auto" w:fill="FFFFFF"/>
              </w:rPr>
            </w:pPr>
          </w:p>
          <w:p w14:paraId="02563697" w14:textId="77777777" w:rsidR="008917C8" w:rsidRDefault="008917C8" w:rsidP="00F55E5D">
            <w:pPr>
              <w:rPr>
                <w:rFonts w:ascii="Calibri Light" w:eastAsia="Times New Roman" w:hAnsi="Calibri Light" w:cs="Arial"/>
                <w:color w:val="000000"/>
                <w:sz w:val="21"/>
                <w:szCs w:val="21"/>
                <w:shd w:val="clear" w:color="auto" w:fill="FFFFFF"/>
              </w:rPr>
            </w:pPr>
          </w:p>
          <w:p w14:paraId="4078FA93" w14:textId="77777777" w:rsidR="008917C8" w:rsidRDefault="008917C8" w:rsidP="00F55E5D">
            <w:pPr>
              <w:rPr>
                <w:rFonts w:ascii="Calibri Light" w:eastAsia="Times New Roman" w:hAnsi="Calibri Light" w:cs="Arial"/>
                <w:color w:val="000000"/>
                <w:sz w:val="21"/>
                <w:szCs w:val="21"/>
                <w:shd w:val="clear" w:color="auto" w:fill="FFFFFF"/>
              </w:rPr>
            </w:pPr>
          </w:p>
          <w:p w14:paraId="7C31AA53" w14:textId="77777777" w:rsidR="008917C8" w:rsidRDefault="008917C8" w:rsidP="00F55E5D">
            <w:pPr>
              <w:rPr>
                <w:rFonts w:ascii="Calibri Light" w:eastAsia="Times New Roman" w:hAnsi="Calibri Light" w:cs="Arial"/>
                <w:color w:val="000000"/>
                <w:sz w:val="21"/>
                <w:szCs w:val="21"/>
                <w:shd w:val="clear" w:color="auto" w:fill="FFFFFF"/>
              </w:rPr>
            </w:pPr>
          </w:p>
          <w:p w14:paraId="18602997" w14:textId="77777777" w:rsidR="008917C8" w:rsidRDefault="008917C8" w:rsidP="00F55E5D">
            <w:pPr>
              <w:rPr>
                <w:rFonts w:ascii="Calibri Light" w:eastAsia="Times New Roman" w:hAnsi="Calibri Light" w:cs="Arial"/>
                <w:color w:val="000000"/>
                <w:sz w:val="21"/>
                <w:szCs w:val="21"/>
                <w:shd w:val="clear" w:color="auto" w:fill="FFFFFF"/>
              </w:rPr>
            </w:pPr>
          </w:p>
          <w:p w14:paraId="3C284E03" w14:textId="77777777" w:rsidR="008917C8" w:rsidRDefault="008917C8" w:rsidP="00F55E5D">
            <w:pPr>
              <w:rPr>
                <w:rFonts w:ascii="Calibri Light" w:eastAsia="Times New Roman" w:hAnsi="Calibri Light" w:cs="Arial"/>
                <w:color w:val="000000"/>
                <w:sz w:val="21"/>
                <w:szCs w:val="21"/>
                <w:shd w:val="clear" w:color="auto" w:fill="FFFFFF"/>
              </w:rPr>
            </w:pPr>
          </w:p>
          <w:p w14:paraId="71459FDB" w14:textId="77777777" w:rsidR="008917C8" w:rsidRDefault="008917C8" w:rsidP="00F55E5D">
            <w:pPr>
              <w:rPr>
                <w:rFonts w:ascii="Calibri Light" w:eastAsia="Times New Roman" w:hAnsi="Calibri Light" w:cs="Arial"/>
                <w:color w:val="000000"/>
                <w:sz w:val="21"/>
                <w:szCs w:val="21"/>
                <w:shd w:val="clear" w:color="auto" w:fill="FFFFFF"/>
              </w:rPr>
            </w:pPr>
          </w:p>
          <w:p w14:paraId="17127B70" w14:textId="77777777" w:rsidR="008917C8" w:rsidRDefault="008917C8" w:rsidP="00F55E5D">
            <w:pPr>
              <w:rPr>
                <w:rFonts w:ascii="Calibri Light" w:eastAsia="Times New Roman" w:hAnsi="Calibri Light" w:cs="Arial"/>
                <w:color w:val="000000"/>
                <w:sz w:val="21"/>
                <w:szCs w:val="21"/>
                <w:shd w:val="clear" w:color="auto" w:fill="FFFFFF"/>
              </w:rPr>
            </w:pPr>
          </w:p>
          <w:p w14:paraId="3B163A4D" w14:textId="77777777" w:rsidR="008917C8" w:rsidRDefault="008917C8" w:rsidP="00F55E5D">
            <w:pPr>
              <w:rPr>
                <w:rFonts w:ascii="Calibri Light" w:eastAsia="Times New Roman" w:hAnsi="Calibri Light" w:cs="Arial"/>
                <w:color w:val="000000"/>
                <w:sz w:val="21"/>
                <w:szCs w:val="21"/>
                <w:shd w:val="clear" w:color="auto" w:fill="FFFFFF"/>
              </w:rPr>
            </w:pPr>
          </w:p>
          <w:p w14:paraId="5EC761CE" w14:textId="77777777" w:rsidR="008917C8" w:rsidRDefault="008917C8" w:rsidP="00F55E5D">
            <w:pPr>
              <w:rPr>
                <w:rFonts w:ascii="Calibri Light" w:eastAsia="Times New Roman" w:hAnsi="Calibri Light" w:cs="Arial"/>
                <w:color w:val="000000"/>
                <w:sz w:val="21"/>
                <w:szCs w:val="21"/>
                <w:shd w:val="clear" w:color="auto" w:fill="FFFFFF"/>
              </w:rPr>
            </w:pPr>
          </w:p>
          <w:p w14:paraId="220000C4" w14:textId="77777777" w:rsidR="008917C8" w:rsidRDefault="008917C8" w:rsidP="00F55E5D">
            <w:pPr>
              <w:rPr>
                <w:rFonts w:ascii="Calibri Light" w:eastAsia="Times New Roman" w:hAnsi="Calibri Light" w:cs="Arial"/>
                <w:color w:val="000000"/>
                <w:sz w:val="21"/>
                <w:szCs w:val="21"/>
                <w:shd w:val="clear" w:color="auto" w:fill="FFFFFF"/>
              </w:rPr>
            </w:pPr>
          </w:p>
          <w:p w14:paraId="752A2C60" w14:textId="77777777" w:rsidR="008917C8" w:rsidRDefault="008917C8" w:rsidP="00F55E5D">
            <w:pPr>
              <w:rPr>
                <w:rFonts w:ascii="Calibri Light" w:eastAsia="Times New Roman" w:hAnsi="Calibri Light" w:cs="Arial"/>
                <w:color w:val="000000"/>
                <w:sz w:val="21"/>
                <w:szCs w:val="21"/>
                <w:shd w:val="clear" w:color="auto" w:fill="FFFFFF"/>
              </w:rPr>
            </w:pPr>
          </w:p>
          <w:p w14:paraId="6DF56286" w14:textId="77777777" w:rsidR="008917C8" w:rsidRDefault="008917C8" w:rsidP="00F55E5D">
            <w:pPr>
              <w:rPr>
                <w:rFonts w:ascii="Calibri Light" w:eastAsia="Times New Roman" w:hAnsi="Calibri Light" w:cs="Arial"/>
                <w:color w:val="000000"/>
                <w:sz w:val="21"/>
                <w:szCs w:val="21"/>
                <w:shd w:val="clear" w:color="auto" w:fill="FFFFFF"/>
              </w:rPr>
            </w:pPr>
          </w:p>
          <w:p w14:paraId="79D18E0F" w14:textId="77777777" w:rsidR="008917C8" w:rsidRDefault="008917C8" w:rsidP="00F55E5D">
            <w:pPr>
              <w:rPr>
                <w:rFonts w:ascii="Calibri Light" w:eastAsia="Times New Roman" w:hAnsi="Calibri Light" w:cs="Arial"/>
                <w:color w:val="000000"/>
                <w:sz w:val="21"/>
                <w:szCs w:val="21"/>
                <w:shd w:val="clear" w:color="auto" w:fill="FFFFFF"/>
              </w:rPr>
            </w:pPr>
          </w:p>
          <w:p w14:paraId="0DE4470B" w14:textId="77777777" w:rsidR="008917C8" w:rsidRPr="000F2999" w:rsidRDefault="008917C8" w:rsidP="00F55E5D">
            <w:pPr>
              <w:rPr>
                <w:rFonts w:ascii="Calibri Light" w:eastAsia="Times New Roman" w:hAnsi="Calibri Light"/>
                <w:sz w:val="21"/>
                <w:szCs w:val="21"/>
              </w:rPr>
            </w:pPr>
          </w:p>
          <w:p w14:paraId="397AB352" w14:textId="589DEEAD" w:rsidR="00F55E5D" w:rsidRPr="00AE03F6" w:rsidRDefault="00F55E5D" w:rsidP="00F90195">
            <w:pPr>
              <w:rPr>
                <w:rFonts w:ascii="Calibri Light" w:eastAsia="Times New Roman" w:hAnsi="Calibri Light"/>
                <w:sz w:val="21"/>
                <w:szCs w:val="21"/>
              </w:rPr>
            </w:pPr>
          </w:p>
        </w:tc>
        <w:tc>
          <w:tcPr>
            <w:tcW w:w="6120" w:type="dxa"/>
            <w:gridSpan w:val="2"/>
            <w:tcBorders>
              <w:left w:val="single" w:sz="4" w:space="0" w:color="auto"/>
              <w:right w:val="single" w:sz="8" w:space="0" w:color="auto"/>
            </w:tcBorders>
            <w:shd w:val="clear" w:color="auto" w:fill="FFFFFF" w:themeFill="background1"/>
          </w:tcPr>
          <w:p w14:paraId="70D21E83" w14:textId="77777777" w:rsidR="00D74A7C" w:rsidRDefault="00D74A7C" w:rsidP="00D74A7C">
            <w:pPr>
              <w:rPr>
                <w:rFonts w:asciiTheme="majorHAnsi" w:hAnsiTheme="majorHAnsi"/>
                <w:b/>
                <w:color w:val="FF0000"/>
                <w:sz w:val="18"/>
                <w:szCs w:val="18"/>
              </w:rPr>
            </w:pPr>
          </w:p>
          <w:p w14:paraId="1FAEE6CE" w14:textId="13D929C1" w:rsidR="008917C8" w:rsidRPr="008917C8" w:rsidRDefault="008917C8" w:rsidP="00D74A7C">
            <w:pPr>
              <w:rPr>
                <w:rFonts w:asciiTheme="majorHAnsi" w:hAnsiTheme="majorHAnsi"/>
                <w:b/>
                <w:color w:val="FF0000"/>
                <w:sz w:val="18"/>
                <w:szCs w:val="18"/>
              </w:rPr>
            </w:pPr>
            <w:r w:rsidRPr="008917C8">
              <w:rPr>
                <w:rFonts w:asciiTheme="majorHAnsi" w:hAnsiTheme="majorHAnsi"/>
                <w:b/>
                <w:color w:val="FF0000"/>
                <w:sz w:val="18"/>
                <w:szCs w:val="18"/>
              </w:rPr>
              <w:t>GALVESTON CAMPUS</w:t>
            </w:r>
          </w:p>
          <w:p w14:paraId="7F4AFE45" w14:textId="77777777" w:rsidR="008917C8" w:rsidRDefault="008917C8" w:rsidP="00D74A7C">
            <w:pPr>
              <w:rPr>
                <w:rFonts w:ascii="Calibri Light" w:hAnsi="Calibri Light" w:cs="Arial"/>
                <w:bCs/>
                <w:color w:val="000000"/>
                <w:sz w:val="20"/>
                <w:szCs w:val="20"/>
              </w:rPr>
            </w:pPr>
            <w:r>
              <w:rPr>
                <w:rFonts w:asciiTheme="majorHAnsi" w:hAnsiTheme="majorHAnsi"/>
                <w:b/>
              </w:rPr>
              <w:t>Waverley Smith Pavilion construction update:</w:t>
            </w:r>
            <w:r>
              <w:rPr>
                <w:rFonts w:ascii="Calibri Light" w:hAnsi="Calibri Light" w:cs="Arial"/>
                <w:bCs/>
                <w:color w:val="000000"/>
                <w:sz w:val="20"/>
                <w:szCs w:val="20"/>
              </w:rPr>
              <w:t xml:space="preserve"> </w:t>
            </w:r>
          </w:p>
          <w:p w14:paraId="7B09AA9A" w14:textId="017C9823" w:rsidR="008917C8" w:rsidRPr="008917C8" w:rsidRDefault="00D74A7C" w:rsidP="008917C8">
            <w:pPr>
              <w:rPr>
                <w:rFonts w:ascii="Calibri Light" w:hAnsi="Calibri Light"/>
                <w:sz w:val="21"/>
                <w:szCs w:val="21"/>
              </w:rPr>
            </w:pPr>
            <w:r>
              <w:rPr>
                <w:rFonts w:ascii="Calibri Light" w:hAnsi="Calibri Light"/>
                <w:sz w:val="21"/>
                <w:szCs w:val="21"/>
              </w:rPr>
              <w:t xml:space="preserve">On </w:t>
            </w:r>
            <w:r w:rsidR="008917C8" w:rsidRPr="008917C8">
              <w:rPr>
                <w:rFonts w:ascii="Calibri Light" w:hAnsi="Calibri Light"/>
                <w:sz w:val="21"/>
                <w:szCs w:val="21"/>
              </w:rPr>
              <w:t>Nov. 20, the first and second floors of Waverley Smith Pavilion will be open to the public. This new route will provide UTMB employees and visitors a more direct pathway from John Sealy Hospital and Café on the Court to Jennie Sealy Hospital and the Clinical Services Wing. Below is the list of updates you can expect to find in this area:  </w:t>
            </w:r>
          </w:p>
          <w:p w14:paraId="3CE2DACB" w14:textId="5003CADA" w:rsidR="008917C8" w:rsidRPr="008917C8" w:rsidRDefault="00D74A7C" w:rsidP="008917C8">
            <w:pPr>
              <w:pStyle w:val="ListParagraph"/>
              <w:numPr>
                <w:ilvl w:val="0"/>
                <w:numId w:val="13"/>
              </w:numPr>
              <w:rPr>
                <w:rFonts w:ascii="Calibri Light" w:hAnsi="Calibri Light"/>
                <w:sz w:val="21"/>
                <w:szCs w:val="21"/>
              </w:rPr>
            </w:pPr>
            <w:r>
              <w:rPr>
                <w:rFonts w:ascii="Calibri Light" w:hAnsi="Calibri Light"/>
                <w:sz w:val="21"/>
                <w:szCs w:val="21"/>
              </w:rPr>
              <w:t>The first-</w:t>
            </w:r>
            <w:r w:rsidR="008917C8" w:rsidRPr="008917C8">
              <w:rPr>
                <w:rFonts w:ascii="Calibri Light" w:hAnsi="Calibri Light"/>
                <w:sz w:val="21"/>
                <w:szCs w:val="21"/>
              </w:rPr>
              <w:t>floor tunnel from the hospital parking garage to Waverley Smith Pavilion wil</w:t>
            </w:r>
            <w:r w:rsidR="00B6331C">
              <w:rPr>
                <w:rFonts w:ascii="Calibri Light" w:hAnsi="Calibri Light"/>
                <w:sz w:val="21"/>
                <w:szCs w:val="21"/>
              </w:rPr>
              <w:t xml:space="preserve">l be unlocked daily from 6 a.m. to </w:t>
            </w:r>
            <w:r w:rsidR="008917C8" w:rsidRPr="008917C8">
              <w:rPr>
                <w:rFonts w:ascii="Calibri Light" w:hAnsi="Calibri Light"/>
                <w:sz w:val="21"/>
                <w:szCs w:val="21"/>
              </w:rPr>
              <w:t>9 p.m. Outside of these hours, entrance will be permitted with employee badge access only. Doors will allow exit at any time. An emergency call box is located on the parking garage side of the doors with direct access to campus police.</w:t>
            </w:r>
          </w:p>
          <w:p w14:paraId="65F07988" w14:textId="77777777" w:rsidR="008917C8" w:rsidRPr="008917C8" w:rsidRDefault="008917C8" w:rsidP="008917C8">
            <w:pPr>
              <w:pStyle w:val="ListParagraph"/>
              <w:numPr>
                <w:ilvl w:val="0"/>
                <w:numId w:val="13"/>
              </w:numPr>
              <w:rPr>
                <w:rFonts w:ascii="Calibri Light" w:hAnsi="Calibri Light"/>
                <w:sz w:val="21"/>
                <w:szCs w:val="21"/>
              </w:rPr>
            </w:pPr>
            <w:r w:rsidRPr="008917C8">
              <w:rPr>
                <w:rFonts w:ascii="Calibri Light" w:hAnsi="Calibri Light"/>
                <w:sz w:val="21"/>
                <w:szCs w:val="21"/>
              </w:rPr>
              <w:t>Elevator service to levels one and two of Waverley Smith Pavilion will be available. Access to Café on the Court will be on level one.  </w:t>
            </w:r>
          </w:p>
          <w:p w14:paraId="557343CD" w14:textId="77777777" w:rsidR="008917C8" w:rsidRPr="008917C8" w:rsidRDefault="008917C8" w:rsidP="008917C8">
            <w:pPr>
              <w:pStyle w:val="ListParagraph"/>
              <w:numPr>
                <w:ilvl w:val="0"/>
                <w:numId w:val="13"/>
              </w:numPr>
              <w:rPr>
                <w:rFonts w:ascii="Calibri Light" w:hAnsi="Calibri Light"/>
                <w:sz w:val="21"/>
                <w:szCs w:val="21"/>
              </w:rPr>
            </w:pPr>
            <w:r w:rsidRPr="008917C8">
              <w:rPr>
                <w:rFonts w:ascii="Calibri Light" w:hAnsi="Calibri Light"/>
                <w:sz w:val="21"/>
                <w:szCs w:val="21"/>
              </w:rPr>
              <w:t>First and second level doors between John Sealy Annex and Waverley Smith Pavilion will open.</w:t>
            </w:r>
          </w:p>
          <w:p w14:paraId="41FCF0CE" w14:textId="77777777" w:rsidR="008917C8" w:rsidRDefault="008917C8" w:rsidP="008917C8">
            <w:pPr>
              <w:pStyle w:val="ListParagraph"/>
              <w:numPr>
                <w:ilvl w:val="0"/>
                <w:numId w:val="13"/>
              </w:numPr>
              <w:rPr>
                <w:rFonts w:ascii="Calibri Light" w:hAnsi="Calibri Light"/>
                <w:sz w:val="21"/>
                <w:szCs w:val="21"/>
              </w:rPr>
            </w:pPr>
            <w:r w:rsidRPr="008917C8">
              <w:rPr>
                <w:rFonts w:ascii="Calibri Light" w:hAnsi="Calibri Light"/>
                <w:sz w:val="21"/>
                <w:szCs w:val="21"/>
              </w:rPr>
              <w:t>Second level bridge connecting Jennie Sealy and Clinical Services Wing to Waverley Smith Pavilion will open. This will become the primary pathway for employees and patients between Jennie Sealy Hospital and Clinical Services Wing to John Sealy Hospital and Café on the Court.</w:t>
            </w:r>
          </w:p>
          <w:p w14:paraId="18320619" w14:textId="362CE71C" w:rsidR="0057109E" w:rsidRPr="0057109E" w:rsidRDefault="0057109E" w:rsidP="0057109E">
            <w:pPr>
              <w:rPr>
                <w:rFonts w:ascii="Calibri Light" w:hAnsi="Calibri Light"/>
                <w:sz w:val="21"/>
                <w:szCs w:val="21"/>
              </w:rPr>
            </w:pPr>
            <w:r>
              <w:rPr>
                <w:rFonts w:ascii="Calibri Light" w:hAnsi="Calibri Light"/>
                <w:sz w:val="21"/>
                <w:szCs w:val="21"/>
              </w:rPr>
              <w:t>When possible, please help visitors who need assistance by escorting them to their intended destinations or find another staff member/volunteer who is able to do so.</w:t>
            </w:r>
          </w:p>
          <w:p w14:paraId="0380CD27" w14:textId="77777777" w:rsidR="008917C8" w:rsidRDefault="008917C8" w:rsidP="005D7C91">
            <w:pPr>
              <w:rPr>
                <w:rFonts w:ascii="Calibri Light" w:eastAsia="Times New Roman" w:hAnsi="Calibri Light"/>
              </w:rPr>
            </w:pPr>
          </w:p>
          <w:p w14:paraId="58D7A94B" w14:textId="77777777" w:rsidR="008917C8" w:rsidRDefault="008917C8" w:rsidP="008917C8">
            <w:pPr>
              <w:spacing w:before="120"/>
              <w:rPr>
                <w:rFonts w:ascii="Calibri Light" w:hAnsi="Calibri Light" w:cs="Arial"/>
                <w:bCs/>
                <w:color w:val="000000"/>
                <w:sz w:val="20"/>
                <w:szCs w:val="20"/>
              </w:rPr>
            </w:pPr>
            <w:r>
              <w:rPr>
                <w:rFonts w:asciiTheme="majorHAnsi" w:hAnsiTheme="majorHAnsi"/>
                <w:noProof/>
                <w:sz w:val="20"/>
              </w:rPr>
              <w:drawing>
                <wp:anchor distT="0" distB="0" distL="114300" distR="114300" simplePos="0" relativeHeight="251770368" behindDoc="0" locked="0" layoutInCell="1" allowOverlap="1" wp14:anchorId="1780FC16" wp14:editId="4A53A6AB">
                  <wp:simplePos x="0" y="0"/>
                  <wp:positionH relativeFrom="column">
                    <wp:posOffset>-40005</wp:posOffset>
                  </wp:positionH>
                  <wp:positionV relativeFrom="paragraph">
                    <wp:posOffset>50930</wp:posOffset>
                  </wp:positionV>
                  <wp:extent cx="266700" cy="227330"/>
                  <wp:effectExtent l="0" t="0" r="12700" b="127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5">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Houston Chronicle 2017 Top Workplaces:</w:t>
            </w:r>
            <w:r>
              <w:rPr>
                <w:rFonts w:ascii="Calibri Light" w:hAnsi="Calibri Light" w:cs="Arial"/>
                <w:bCs/>
                <w:color w:val="000000"/>
                <w:sz w:val="20"/>
                <w:szCs w:val="20"/>
              </w:rPr>
              <w:t xml:space="preserve"> </w:t>
            </w:r>
          </w:p>
          <w:p w14:paraId="2A8219E9" w14:textId="79BD7366" w:rsidR="000F2999" w:rsidRDefault="008917C8" w:rsidP="008917C8">
            <w:pPr>
              <w:rPr>
                <w:rFonts w:ascii="Calibri Light" w:eastAsia="Times New Roman" w:hAnsi="Calibri Light"/>
                <w:sz w:val="21"/>
                <w:szCs w:val="21"/>
              </w:rPr>
            </w:pPr>
            <w:r w:rsidRPr="00C505C4">
              <w:rPr>
                <w:rFonts w:ascii="Calibri Light" w:eastAsia="Times New Roman" w:hAnsi="Calibri Light" w:cs="Arial"/>
                <w:color w:val="000000"/>
                <w:sz w:val="21"/>
                <w:szCs w:val="21"/>
                <w:shd w:val="clear" w:color="auto" w:fill="FFFFFF"/>
              </w:rPr>
              <w:t>UTMB’s Health System has been listed among other large employers on The Houston Chronicle’s 2017 Top Workplaces list, which was published on Nov. 5. Inclusion on the list is based upon feedback from 2,595 UTMB Health System employees, physicians and mid-level providers who completed a confidential survey a few months ago. UTMB is honored to have been selected for the award, particularly as the judges were our employees.</w:t>
            </w:r>
            <w:r w:rsidRPr="00C505C4">
              <w:rPr>
                <w:rStyle w:val="apple-converted-space"/>
                <w:rFonts w:ascii="Calibri Light" w:eastAsia="Times New Roman" w:hAnsi="Calibri Light" w:cs="Arial"/>
                <w:color w:val="000000"/>
                <w:sz w:val="21"/>
                <w:szCs w:val="21"/>
                <w:shd w:val="clear" w:color="auto" w:fill="FFFFFF"/>
              </w:rPr>
              <w:t> </w:t>
            </w:r>
            <w:r w:rsidRPr="00410334">
              <w:rPr>
                <w:rFonts w:ascii="Calibri Light" w:eastAsia="Times New Roman" w:hAnsi="Calibri Light" w:cs="Arial"/>
                <w:color w:val="000000" w:themeColor="text1"/>
                <w:sz w:val="21"/>
                <w:szCs w:val="21"/>
              </w:rPr>
              <w:t>Survey results will be shared in the coming months.</w:t>
            </w:r>
          </w:p>
          <w:p w14:paraId="18380013" w14:textId="0D239E71" w:rsidR="008917C8" w:rsidRPr="008917C8" w:rsidRDefault="008917C8" w:rsidP="008917C8">
            <w:pPr>
              <w:rPr>
                <w:rFonts w:ascii="Calibri Light" w:eastAsia="Times New Roman" w:hAnsi="Calibri Light"/>
                <w:sz w:val="21"/>
                <w:szCs w:val="21"/>
              </w:rPr>
            </w:pPr>
          </w:p>
        </w:tc>
      </w:tr>
      <w:tr w:rsidR="001849C7" w14:paraId="09FE0D10" w14:textId="77777777" w:rsidTr="00891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2"/>
        </w:trPr>
        <w:tc>
          <w:tcPr>
            <w:tcW w:w="5153" w:type="dxa"/>
            <w:gridSpan w:val="3"/>
            <w:vMerge/>
            <w:tcBorders>
              <w:left w:val="single" w:sz="8" w:space="0" w:color="auto"/>
              <w:right w:val="single" w:sz="4" w:space="0" w:color="auto"/>
            </w:tcBorders>
          </w:tcPr>
          <w:p w14:paraId="19B7FFF7" w14:textId="77777777" w:rsidR="001849C7" w:rsidRDefault="001849C7" w:rsidP="00A83199">
            <w:pPr>
              <w:rPr>
                <w:rFonts w:asciiTheme="majorHAnsi" w:eastAsia="Times New Roman" w:hAnsiTheme="majorHAnsi" w:cs="Arial"/>
                <w:b/>
                <w:bCs/>
                <w:szCs w:val="20"/>
              </w:rPr>
            </w:pPr>
          </w:p>
        </w:tc>
        <w:tc>
          <w:tcPr>
            <w:tcW w:w="6120" w:type="dxa"/>
            <w:gridSpan w:val="2"/>
            <w:tcBorders>
              <w:left w:val="single" w:sz="4" w:space="0" w:color="auto"/>
              <w:right w:val="single" w:sz="8" w:space="0" w:color="auto"/>
            </w:tcBorders>
            <w:shd w:val="clear" w:color="auto" w:fill="D9D9D9" w:themeFill="background1" w:themeFillShade="D9"/>
          </w:tcPr>
          <w:p w14:paraId="336C8A9B" w14:textId="77777777" w:rsidR="007727F9" w:rsidRDefault="00925479" w:rsidP="007727F9">
            <w:pPr>
              <w:rPr>
                <w:rFonts w:eastAsia="Times New Roman"/>
              </w:rPr>
            </w:pPr>
            <w:r>
              <w:rPr>
                <w:rFonts w:asciiTheme="majorHAnsi" w:hAnsiTheme="majorHAnsi"/>
                <w:b/>
                <w:color w:val="FF0000"/>
                <w:sz w:val="28"/>
              </w:rPr>
              <w:t>DID YOU KNOW?</w:t>
            </w:r>
            <w:r>
              <w:br/>
            </w:r>
            <w:r w:rsidR="007727F9" w:rsidRPr="007727F9">
              <w:rPr>
                <w:rFonts w:ascii="Calibri Light" w:hAnsi="Calibri Light"/>
                <w:sz w:val="21"/>
                <w:szCs w:val="21"/>
              </w:rPr>
              <w:t xml:space="preserve">Every 10 years, UTMB’s Academic Enterprise must be re-accredited by the Southern Association of Colleges and Schools Commission on Colleges (SACSCOC) to continue conferring degrees. Part of that re-accreditation process is the creation of a Quality Enhancement Plan (QEP), a carefully designed course of action that addresses a well-defined and focused topic or issue related to enhancing student learning. UTMB’s new QEP is called IPE2Practice and is focused on bringing </w:t>
            </w:r>
            <w:proofErr w:type="spellStart"/>
            <w:r w:rsidR="007727F9" w:rsidRPr="007727F9">
              <w:rPr>
                <w:rFonts w:ascii="Calibri Light" w:hAnsi="Calibri Light"/>
                <w:sz w:val="21"/>
                <w:szCs w:val="21"/>
              </w:rPr>
              <w:t>interprofessional</w:t>
            </w:r>
            <w:proofErr w:type="spellEnd"/>
            <w:r w:rsidR="007727F9" w:rsidRPr="007727F9">
              <w:rPr>
                <w:rFonts w:ascii="Calibri Light" w:hAnsi="Calibri Light"/>
                <w:sz w:val="21"/>
                <w:szCs w:val="21"/>
              </w:rPr>
              <w:t xml:space="preserve"> education from the classroom into practice across disciplines. </w:t>
            </w:r>
            <w:proofErr w:type="spellStart"/>
            <w:r w:rsidR="007727F9" w:rsidRPr="007727F9">
              <w:rPr>
                <w:rFonts w:ascii="Calibri Light" w:hAnsi="Calibri Light"/>
                <w:sz w:val="21"/>
                <w:szCs w:val="21"/>
              </w:rPr>
              <w:t>Interprofessional</w:t>
            </w:r>
            <w:proofErr w:type="spellEnd"/>
            <w:r w:rsidR="007727F9" w:rsidRPr="007727F9">
              <w:rPr>
                <w:rFonts w:ascii="Calibri Light" w:hAnsi="Calibri Light"/>
                <w:sz w:val="21"/>
                <w:szCs w:val="21"/>
              </w:rPr>
              <w:t xml:space="preserve"> education was initially introduced to UTMB in 2008 through Synergy, UTMB’s previous enhancement plan. The Southern Association of Colleges will visit UTMB Feb. 6-8 as part of our re-accreditation. To learn more, visit </w:t>
            </w:r>
            <w:hyperlink r:id="rId23" w:history="1">
              <w:r w:rsidR="007727F9" w:rsidRPr="007727F9">
                <w:rPr>
                  <w:rFonts w:ascii="Calibri Light" w:hAnsi="Calibri Light"/>
                  <w:color w:val="FF0000"/>
                  <w:sz w:val="21"/>
                  <w:szCs w:val="21"/>
                </w:rPr>
                <w:t>https://utmb.us/2cl</w:t>
              </w:r>
            </w:hyperlink>
            <w:r w:rsidR="007727F9" w:rsidRPr="007727F9">
              <w:rPr>
                <w:rFonts w:ascii="Calibri Light" w:hAnsi="Calibri Light"/>
                <w:sz w:val="21"/>
                <w:szCs w:val="21"/>
              </w:rPr>
              <w:t>.</w:t>
            </w:r>
          </w:p>
          <w:p w14:paraId="29F3D34D" w14:textId="68878E57" w:rsidR="001849C7" w:rsidRPr="00925479" w:rsidRDefault="001849C7" w:rsidP="00326BE4">
            <w:pPr>
              <w:rPr>
                <w:rFonts w:eastAsia="Times New Roman"/>
              </w:rPr>
            </w:pP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24"/>
      <w:footerReference w:type="first" r:id="rId25"/>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27C3DE" w14:textId="77777777" w:rsidR="003C4C01" w:rsidRDefault="003C4C01" w:rsidP="00874B86">
      <w:r>
        <w:separator/>
      </w:r>
    </w:p>
  </w:endnote>
  <w:endnote w:type="continuationSeparator" w:id="0">
    <w:p w14:paraId="617B30FB" w14:textId="77777777" w:rsidR="003C4C01" w:rsidRDefault="003C4C01"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Minion Pro"/>
    <w:charset w:val="00"/>
    <w:family w:val="auto"/>
    <w:pitch w:val="variable"/>
    <w:sig w:usb0="60000287" w:usb1="00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BC227B" w14:textId="77777777" w:rsidR="003C4C01" w:rsidRDefault="003C4C01" w:rsidP="00874B86">
      <w:r>
        <w:separator/>
      </w:r>
    </w:p>
  </w:footnote>
  <w:footnote w:type="continuationSeparator" w:id="0">
    <w:p w14:paraId="5852F626" w14:textId="77777777" w:rsidR="003C4C01" w:rsidRDefault="003C4C01"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C46906" w:rsidRDefault="004E6F81">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59" type="#_x0000_t75" style="position:absolute;margin-left:0;margin-top:0;width:546pt;height:731.3pt;z-index:-251658752;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E5192"/>
    <w:multiLevelType w:val="multilevel"/>
    <w:tmpl w:val="2A6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6D5204"/>
    <w:multiLevelType w:val="hybridMultilevel"/>
    <w:tmpl w:val="66FE9E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6F2B6F"/>
    <w:multiLevelType w:val="hybridMultilevel"/>
    <w:tmpl w:val="0046C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7E770F"/>
    <w:multiLevelType w:val="hybridMultilevel"/>
    <w:tmpl w:val="B6489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0DD2268"/>
    <w:multiLevelType w:val="hybridMultilevel"/>
    <w:tmpl w:val="37286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7F25A4"/>
    <w:multiLevelType w:val="hybridMultilevel"/>
    <w:tmpl w:val="6DD4EB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49F1A43"/>
    <w:multiLevelType w:val="multilevel"/>
    <w:tmpl w:val="84CE31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69B50EA"/>
    <w:multiLevelType w:val="hybridMultilevel"/>
    <w:tmpl w:val="EE143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3E1755"/>
    <w:multiLevelType w:val="hybridMultilevel"/>
    <w:tmpl w:val="74346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4A61C22"/>
    <w:multiLevelType w:val="hybridMultilevel"/>
    <w:tmpl w:val="FF32DE0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3BF72A6"/>
    <w:multiLevelType w:val="hybridMultilevel"/>
    <w:tmpl w:val="124AF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26785D"/>
    <w:multiLevelType w:val="hybridMultilevel"/>
    <w:tmpl w:val="C796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CD0380"/>
    <w:multiLevelType w:val="multilevel"/>
    <w:tmpl w:val="0682177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3">
    <w:nsid w:val="7CED5485"/>
    <w:multiLevelType w:val="multilevel"/>
    <w:tmpl w:val="5434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9"/>
  </w:num>
  <w:num w:numId="3">
    <w:abstractNumId w:val="13"/>
  </w:num>
  <w:num w:numId="4">
    <w:abstractNumId w:val="5"/>
  </w:num>
  <w:num w:numId="5">
    <w:abstractNumId w:val="1"/>
  </w:num>
  <w:num w:numId="6">
    <w:abstractNumId w:val="2"/>
  </w:num>
  <w:num w:numId="7">
    <w:abstractNumId w:val="12"/>
  </w:num>
  <w:num w:numId="8">
    <w:abstractNumId w:val="7"/>
  </w:num>
  <w:num w:numId="9">
    <w:abstractNumId w:val="0"/>
  </w:num>
  <w:num w:numId="10">
    <w:abstractNumId w:val="4"/>
  </w:num>
  <w:num w:numId="11">
    <w:abstractNumId w:val="8"/>
  </w:num>
  <w:num w:numId="12">
    <w:abstractNumId w:val="3"/>
  </w:num>
  <w:num w:numId="13">
    <w:abstractNumId w:val="11"/>
  </w:num>
  <w:num w:numId="14">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373A"/>
    <w:rsid w:val="000257FB"/>
    <w:rsid w:val="00026B3C"/>
    <w:rsid w:val="000317BD"/>
    <w:rsid w:val="00033AC2"/>
    <w:rsid w:val="000421C8"/>
    <w:rsid w:val="00046B32"/>
    <w:rsid w:val="00046FAF"/>
    <w:rsid w:val="00053CF5"/>
    <w:rsid w:val="00065D33"/>
    <w:rsid w:val="0007004E"/>
    <w:rsid w:val="0007289E"/>
    <w:rsid w:val="000761B1"/>
    <w:rsid w:val="0008142C"/>
    <w:rsid w:val="0008270F"/>
    <w:rsid w:val="00085BFB"/>
    <w:rsid w:val="00087000"/>
    <w:rsid w:val="00090498"/>
    <w:rsid w:val="00090A81"/>
    <w:rsid w:val="00093965"/>
    <w:rsid w:val="000966FD"/>
    <w:rsid w:val="000A26D9"/>
    <w:rsid w:val="000A297A"/>
    <w:rsid w:val="000A36BE"/>
    <w:rsid w:val="000A508E"/>
    <w:rsid w:val="000B2BB1"/>
    <w:rsid w:val="000B381B"/>
    <w:rsid w:val="000B6351"/>
    <w:rsid w:val="000B666C"/>
    <w:rsid w:val="000B7007"/>
    <w:rsid w:val="000B73A7"/>
    <w:rsid w:val="000C1FC9"/>
    <w:rsid w:val="000C69D6"/>
    <w:rsid w:val="000D61E4"/>
    <w:rsid w:val="000D665C"/>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7586"/>
    <w:rsid w:val="0012322A"/>
    <w:rsid w:val="001276F3"/>
    <w:rsid w:val="001325DC"/>
    <w:rsid w:val="001365AE"/>
    <w:rsid w:val="00151100"/>
    <w:rsid w:val="00153DDE"/>
    <w:rsid w:val="0016087C"/>
    <w:rsid w:val="00161A12"/>
    <w:rsid w:val="00166476"/>
    <w:rsid w:val="001767B8"/>
    <w:rsid w:val="001838A0"/>
    <w:rsid w:val="00183D7B"/>
    <w:rsid w:val="001849C7"/>
    <w:rsid w:val="00190040"/>
    <w:rsid w:val="001A2490"/>
    <w:rsid w:val="001A64DA"/>
    <w:rsid w:val="001A6D43"/>
    <w:rsid w:val="001A7128"/>
    <w:rsid w:val="001A732C"/>
    <w:rsid w:val="001B5AE8"/>
    <w:rsid w:val="001B7C99"/>
    <w:rsid w:val="001C1D3C"/>
    <w:rsid w:val="001C4A7F"/>
    <w:rsid w:val="001D239E"/>
    <w:rsid w:val="001E24E2"/>
    <w:rsid w:val="001E36E7"/>
    <w:rsid w:val="001E3AE0"/>
    <w:rsid w:val="001E558C"/>
    <w:rsid w:val="001E6192"/>
    <w:rsid w:val="001E7922"/>
    <w:rsid w:val="001F26BB"/>
    <w:rsid w:val="001F63BC"/>
    <w:rsid w:val="002029B1"/>
    <w:rsid w:val="00202B35"/>
    <w:rsid w:val="00202D78"/>
    <w:rsid w:val="0020359C"/>
    <w:rsid w:val="00206437"/>
    <w:rsid w:val="00206C2F"/>
    <w:rsid w:val="00211C98"/>
    <w:rsid w:val="00212566"/>
    <w:rsid w:val="00214F6F"/>
    <w:rsid w:val="00216EE9"/>
    <w:rsid w:val="002219BD"/>
    <w:rsid w:val="0022457F"/>
    <w:rsid w:val="00224D1C"/>
    <w:rsid w:val="0022573B"/>
    <w:rsid w:val="0024033D"/>
    <w:rsid w:val="00241155"/>
    <w:rsid w:val="00243ACB"/>
    <w:rsid w:val="00244756"/>
    <w:rsid w:val="00245011"/>
    <w:rsid w:val="00252100"/>
    <w:rsid w:val="002522D8"/>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5710"/>
    <w:rsid w:val="003136F1"/>
    <w:rsid w:val="00314842"/>
    <w:rsid w:val="00315952"/>
    <w:rsid w:val="00317E2B"/>
    <w:rsid w:val="00321AF8"/>
    <w:rsid w:val="003224F1"/>
    <w:rsid w:val="00324F34"/>
    <w:rsid w:val="00326BE4"/>
    <w:rsid w:val="0033116D"/>
    <w:rsid w:val="00332E95"/>
    <w:rsid w:val="003352C1"/>
    <w:rsid w:val="00336E1A"/>
    <w:rsid w:val="00337455"/>
    <w:rsid w:val="0034257F"/>
    <w:rsid w:val="003442B5"/>
    <w:rsid w:val="00353BB0"/>
    <w:rsid w:val="00356428"/>
    <w:rsid w:val="00360B73"/>
    <w:rsid w:val="0036546F"/>
    <w:rsid w:val="00366EDC"/>
    <w:rsid w:val="00381C8B"/>
    <w:rsid w:val="00383F66"/>
    <w:rsid w:val="003929D4"/>
    <w:rsid w:val="003960FE"/>
    <w:rsid w:val="003A09D9"/>
    <w:rsid w:val="003A164D"/>
    <w:rsid w:val="003A20EF"/>
    <w:rsid w:val="003A3D5E"/>
    <w:rsid w:val="003A4577"/>
    <w:rsid w:val="003B1F2B"/>
    <w:rsid w:val="003B75F3"/>
    <w:rsid w:val="003C139A"/>
    <w:rsid w:val="003C153E"/>
    <w:rsid w:val="003C4C01"/>
    <w:rsid w:val="003C4E41"/>
    <w:rsid w:val="003C7C60"/>
    <w:rsid w:val="003D0B4E"/>
    <w:rsid w:val="003D338D"/>
    <w:rsid w:val="003D7706"/>
    <w:rsid w:val="003D7E2A"/>
    <w:rsid w:val="003E061E"/>
    <w:rsid w:val="003E3FC0"/>
    <w:rsid w:val="003E5BB0"/>
    <w:rsid w:val="003F0266"/>
    <w:rsid w:val="003F3914"/>
    <w:rsid w:val="003F3EE7"/>
    <w:rsid w:val="00406830"/>
    <w:rsid w:val="00410334"/>
    <w:rsid w:val="00415311"/>
    <w:rsid w:val="00420426"/>
    <w:rsid w:val="00423432"/>
    <w:rsid w:val="004236F0"/>
    <w:rsid w:val="004253A9"/>
    <w:rsid w:val="00427614"/>
    <w:rsid w:val="0042789B"/>
    <w:rsid w:val="00433851"/>
    <w:rsid w:val="004344E8"/>
    <w:rsid w:val="00443032"/>
    <w:rsid w:val="004442B2"/>
    <w:rsid w:val="00452691"/>
    <w:rsid w:val="00456E37"/>
    <w:rsid w:val="0046357C"/>
    <w:rsid w:val="00463E09"/>
    <w:rsid w:val="00463F9C"/>
    <w:rsid w:val="00466810"/>
    <w:rsid w:val="004708B0"/>
    <w:rsid w:val="0047101D"/>
    <w:rsid w:val="004769D2"/>
    <w:rsid w:val="0048017F"/>
    <w:rsid w:val="004858C4"/>
    <w:rsid w:val="00486177"/>
    <w:rsid w:val="004938E0"/>
    <w:rsid w:val="00496356"/>
    <w:rsid w:val="004A2F43"/>
    <w:rsid w:val="004A48A1"/>
    <w:rsid w:val="004A6B9E"/>
    <w:rsid w:val="004A7BEA"/>
    <w:rsid w:val="004B3A59"/>
    <w:rsid w:val="004C1619"/>
    <w:rsid w:val="004C3912"/>
    <w:rsid w:val="004C3BE1"/>
    <w:rsid w:val="004C4313"/>
    <w:rsid w:val="004C7065"/>
    <w:rsid w:val="004D4424"/>
    <w:rsid w:val="004E6F81"/>
    <w:rsid w:val="004F5E00"/>
    <w:rsid w:val="004F74F1"/>
    <w:rsid w:val="004F7EC6"/>
    <w:rsid w:val="0050013D"/>
    <w:rsid w:val="00502D6C"/>
    <w:rsid w:val="0050368C"/>
    <w:rsid w:val="005060DE"/>
    <w:rsid w:val="0051366B"/>
    <w:rsid w:val="00516278"/>
    <w:rsid w:val="0052069E"/>
    <w:rsid w:val="00521FFF"/>
    <w:rsid w:val="00524DCF"/>
    <w:rsid w:val="0052538F"/>
    <w:rsid w:val="00526B9C"/>
    <w:rsid w:val="00532D16"/>
    <w:rsid w:val="00536B2A"/>
    <w:rsid w:val="00543D38"/>
    <w:rsid w:val="00544157"/>
    <w:rsid w:val="005458B9"/>
    <w:rsid w:val="005464D9"/>
    <w:rsid w:val="0055137B"/>
    <w:rsid w:val="005529B6"/>
    <w:rsid w:val="00554E79"/>
    <w:rsid w:val="005600FC"/>
    <w:rsid w:val="005637B8"/>
    <w:rsid w:val="0057109E"/>
    <w:rsid w:val="0058060F"/>
    <w:rsid w:val="005847FF"/>
    <w:rsid w:val="00585FEB"/>
    <w:rsid w:val="00586787"/>
    <w:rsid w:val="00587911"/>
    <w:rsid w:val="005962F1"/>
    <w:rsid w:val="00596875"/>
    <w:rsid w:val="0059768F"/>
    <w:rsid w:val="005A3178"/>
    <w:rsid w:val="005A3B2E"/>
    <w:rsid w:val="005A3FB9"/>
    <w:rsid w:val="005B1203"/>
    <w:rsid w:val="005B5CE0"/>
    <w:rsid w:val="005C0421"/>
    <w:rsid w:val="005C1179"/>
    <w:rsid w:val="005C327A"/>
    <w:rsid w:val="005C3769"/>
    <w:rsid w:val="005C40E5"/>
    <w:rsid w:val="005C4502"/>
    <w:rsid w:val="005C542D"/>
    <w:rsid w:val="005C6EEC"/>
    <w:rsid w:val="005D134B"/>
    <w:rsid w:val="005D163A"/>
    <w:rsid w:val="005D238F"/>
    <w:rsid w:val="005D27C3"/>
    <w:rsid w:val="005D7C91"/>
    <w:rsid w:val="005E1601"/>
    <w:rsid w:val="005E2DA1"/>
    <w:rsid w:val="005E5DD1"/>
    <w:rsid w:val="005E618F"/>
    <w:rsid w:val="005E7BE5"/>
    <w:rsid w:val="005F6B08"/>
    <w:rsid w:val="005F6DE6"/>
    <w:rsid w:val="0060605B"/>
    <w:rsid w:val="0060696E"/>
    <w:rsid w:val="00607FE9"/>
    <w:rsid w:val="00610861"/>
    <w:rsid w:val="00613206"/>
    <w:rsid w:val="00615E49"/>
    <w:rsid w:val="006221D7"/>
    <w:rsid w:val="00623744"/>
    <w:rsid w:val="0064541C"/>
    <w:rsid w:val="00652FB7"/>
    <w:rsid w:val="00655499"/>
    <w:rsid w:val="006609CA"/>
    <w:rsid w:val="00662EE7"/>
    <w:rsid w:val="00662FE8"/>
    <w:rsid w:val="006764F6"/>
    <w:rsid w:val="006804EC"/>
    <w:rsid w:val="00680E61"/>
    <w:rsid w:val="00682DCE"/>
    <w:rsid w:val="00694829"/>
    <w:rsid w:val="006959E7"/>
    <w:rsid w:val="0069634D"/>
    <w:rsid w:val="006A140E"/>
    <w:rsid w:val="006A7BC7"/>
    <w:rsid w:val="006B1031"/>
    <w:rsid w:val="006B1B4F"/>
    <w:rsid w:val="006B44B9"/>
    <w:rsid w:val="006B68AF"/>
    <w:rsid w:val="006D30D7"/>
    <w:rsid w:val="006E1D9C"/>
    <w:rsid w:val="006E6A62"/>
    <w:rsid w:val="006F28BD"/>
    <w:rsid w:val="006F5026"/>
    <w:rsid w:val="006F56B1"/>
    <w:rsid w:val="006F7641"/>
    <w:rsid w:val="00701024"/>
    <w:rsid w:val="007021E5"/>
    <w:rsid w:val="0071465A"/>
    <w:rsid w:val="007150CA"/>
    <w:rsid w:val="00721CC0"/>
    <w:rsid w:val="00721CF2"/>
    <w:rsid w:val="00722C34"/>
    <w:rsid w:val="007238D7"/>
    <w:rsid w:val="007252A6"/>
    <w:rsid w:val="00727536"/>
    <w:rsid w:val="00727C45"/>
    <w:rsid w:val="00732060"/>
    <w:rsid w:val="00733319"/>
    <w:rsid w:val="00733AEA"/>
    <w:rsid w:val="00737032"/>
    <w:rsid w:val="0073723F"/>
    <w:rsid w:val="00742B27"/>
    <w:rsid w:val="00747AAD"/>
    <w:rsid w:val="007616DD"/>
    <w:rsid w:val="00763339"/>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196E"/>
    <w:rsid w:val="007B7890"/>
    <w:rsid w:val="007D16A8"/>
    <w:rsid w:val="007D38E8"/>
    <w:rsid w:val="007D3EB3"/>
    <w:rsid w:val="007D73C2"/>
    <w:rsid w:val="007E09F3"/>
    <w:rsid w:val="007E1186"/>
    <w:rsid w:val="007E5EBB"/>
    <w:rsid w:val="007F5801"/>
    <w:rsid w:val="007F788A"/>
    <w:rsid w:val="008032C3"/>
    <w:rsid w:val="00803F67"/>
    <w:rsid w:val="00804F92"/>
    <w:rsid w:val="0080543C"/>
    <w:rsid w:val="00814D06"/>
    <w:rsid w:val="00816D2E"/>
    <w:rsid w:val="00817D05"/>
    <w:rsid w:val="0082303B"/>
    <w:rsid w:val="0082346E"/>
    <w:rsid w:val="00824F3C"/>
    <w:rsid w:val="00825D37"/>
    <w:rsid w:val="00831B07"/>
    <w:rsid w:val="008325B7"/>
    <w:rsid w:val="0083344D"/>
    <w:rsid w:val="00833D36"/>
    <w:rsid w:val="00837050"/>
    <w:rsid w:val="00844A10"/>
    <w:rsid w:val="00845B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918"/>
    <w:rsid w:val="008B79C3"/>
    <w:rsid w:val="008C17A5"/>
    <w:rsid w:val="008D56B1"/>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74732"/>
    <w:rsid w:val="00975BF5"/>
    <w:rsid w:val="00976EAF"/>
    <w:rsid w:val="0098127F"/>
    <w:rsid w:val="00986848"/>
    <w:rsid w:val="009877C0"/>
    <w:rsid w:val="00987A4A"/>
    <w:rsid w:val="00990EE4"/>
    <w:rsid w:val="009931E9"/>
    <w:rsid w:val="00996440"/>
    <w:rsid w:val="009A02B0"/>
    <w:rsid w:val="009A0A77"/>
    <w:rsid w:val="009A3B49"/>
    <w:rsid w:val="009A52F8"/>
    <w:rsid w:val="009A6512"/>
    <w:rsid w:val="009A6C2B"/>
    <w:rsid w:val="009B091C"/>
    <w:rsid w:val="009B6D01"/>
    <w:rsid w:val="009C2829"/>
    <w:rsid w:val="009C2B17"/>
    <w:rsid w:val="009C65BC"/>
    <w:rsid w:val="009C6717"/>
    <w:rsid w:val="009D2F90"/>
    <w:rsid w:val="009D36E9"/>
    <w:rsid w:val="009D55B1"/>
    <w:rsid w:val="009D7EFD"/>
    <w:rsid w:val="009E0224"/>
    <w:rsid w:val="009E1548"/>
    <w:rsid w:val="009E4D05"/>
    <w:rsid w:val="009E5FAD"/>
    <w:rsid w:val="009F0787"/>
    <w:rsid w:val="009F19C8"/>
    <w:rsid w:val="009F504E"/>
    <w:rsid w:val="009F6435"/>
    <w:rsid w:val="009F7C23"/>
    <w:rsid w:val="00A109FA"/>
    <w:rsid w:val="00A1295B"/>
    <w:rsid w:val="00A14C8D"/>
    <w:rsid w:val="00A211B2"/>
    <w:rsid w:val="00A2200E"/>
    <w:rsid w:val="00A24C8F"/>
    <w:rsid w:val="00A301CE"/>
    <w:rsid w:val="00A31966"/>
    <w:rsid w:val="00A33081"/>
    <w:rsid w:val="00A34F69"/>
    <w:rsid w:val="00A44121"/>
    <w:rsid w:val="00A454B2"/>
    <w:rsid w:val="00A6456D"/>
    <w:rsid w:val="00A73B89"/>
    <w:rsid w:val="00A76BDE"/>
    <w:rsid w:val="00A7783B"/>
    <w:rsid w:val="00A83199"/>
    <w:rsid w:val="00A84CDE"/>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6DF5"/>
    <w:rsid w:val="00AD0ECC"/>
    <w:rsid w:val="00AD6899"/>
    <w:rsid w:val="00AD7F67"/>
    <w:rsid w:val="00AE0318"/>
    <w:rsid w:val="00AE03F6"/>
    <w:rsid w:val="00AE72FD"/>
    <w:rsid w:val="00AF2AA4"/>
    <w:rsid w:val="00AF5DE4"/>
    <w:rsid w:val="00AF61B3"/>
    <w:rsid w:val="00B00381"/>
    <w:rsid w:val="00B00E72"/>
    <w:rsid w:val="00B03D08"/>
    <w:rsid w:val="00B059DD"/>
    <w:rsid w:val="00B14985"/>
    <w:rsid w:val="00B20F58"/>
    <w:rsid w:val="00B21C31"/>
    <w:rsid w:val="00B22864"/>
    <w:rsid w:val="00B25A59"/>
    <w:rsid w:val="00B26D15"/>
    <w:rsid w:val="00B32644"/>
    <w:rsid w:val="00B34C60"/>
    <w:rsid w:val="00B4271F"/>
    <w:rsid w:val="00B42916"/>
    <w:rsid w:val="00B4556F"/>
    <w:rsid w:val="00B45886"/>
    <w:rsid w:val="00B45EDC"/>
    <w:rsid w:val="00B4699F"/>
    <w:rsid w:val="00B472C9"/>
    <w:rsid w:val="00B47774"/>
    <w:rsid w:val="00B5094E"/>
    <w:rsid w:val="00B5142B"/>
    <w:rsid w:val="00B568B4"/>
    <w:rsid w:val="00B57173"/>
    <w:rsid w:val="00B6331C"/>
    <w:rsid w:val="00B7091D"/>
    <w:rsid w:val="00B70F09"/>
    <w:rsid w:val="00B756E4"/>
    <w:rsid w:val="00B761DE"/>
    <w:rsid w:val="00B765E4"/>
    <w:rsid w:val="00B76E50"/>
    <w:rsid w:val="00B8641A"/>
    <w:rsid w:val="00B876FB"/>
    <w:rsid w:val="00B92A82"/>
    <w:rsid w:val="00B93AD2"/>
    <w:rsid w:val="00BA124E"/>
    <w:rsid w:val="00BA160D"/>
    <w:rsid w:val="00BA429D"/>
    <w:rsid w:val="00BA4D87"/>
    <w:rsid w:val="00BC607D"/>
    <w:rsid w:val="00BD1CFF"/>
    <w:rsid w:val="00BD2F35"/>
    <w:rsid w:val="00BD6F11"/>
    <w:rsid w:val="00BD7F52"/>
    <w:rsid w:val="00BE01D0"/>
    <w:rsid w:val="00BE1CC6"/>
    <w:rsid w:val="00BE3394"/>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505C4"/>
    <w:rsid w:val="00C50B15"/>
    <w:rsid w:val="00C53DFD"/>
    <w:rsid w:val="00C545D1"/>
    <w:rsid w:val="00C60C5A"/>
    <w:rsid w:val="00C61C42"/>
    <w:rsid w:val="00C70AA9"/>
    <w:rsid w:val="00C7271C"/>
    <w:rsid w:val="00C74D16"/>
    <w:rsid w:val="00C77746"/>
    <w:rsid w:val="00C80144"/>
    <w:rsid w:val="00C8425F"/>
    <w:rsid w:val="00C91ADD"/>
    <w:rsid w:val="00C9451D"/>
    <w:rsid w:val="00C946A6"/>
    <w:rsid w:val="00C954D2"/>
    <w:rsid w:val="00CA08F1"/>
    <w:rsid w:val="00CA78A7"/>
    <w:rsid w:val="00CB2EB1"/>
    <w:rsid w:val="00CB3E9C"/>
    <w:rsid w:val="00CB52BA"/>
    <w:rsid w:val="00CB7A7D"/>
    <w:rsid w:val="00CC3714"/>
    <w:rsid w:val="00CC3E2F"/>
    <w:rsid w:val="00CC3E40"/>
    <w:rsid w:val="00CC6672"/>
    <w:rsid w:val="00CD1B15"/>
    <w:rsid w:val="00CD37C6"/>
    <w:rsid w:val="00CD7A13"/>
    <w:rsid w:val="00CD7D72"/>
    <w:rsid w:val="00CE352E"/>
    <w:rsid w:val="00CE4BF1"/>
    <w:rsid w:val="00CF123A"/>
    <w:rsid w:val="00CF39F4"/>
    <w:rsid w:val="00CF43EA"/>
    <w:rsid w:val="00D03499"/>
    <w:rsid w:val="00D05E81"/>
    <w:rsid w:val="00D06680"/>
    <w:rsid w:val="00D078F8"/>
    <w:rsid w:val="00D12C2F"/>
    <w:rsid w:val="00D20A45"/>
    <w:rsid w:val="00D22049"/>
    <w:rsid w:val="00D24421"/>
    <w:rsid w:val="00D24B33"/>
    <w:rsid w:val="00D42C21"/>
    <w:rsid w:val="00D43E7F"/>
    <w:rsid w:val="00D505A2"/>
    <w:rsid w:val="00D56CE7"/>
    <w:rsid w:val="00D57FE0"/>
    <w:rsid w:val="00D64C4C"/>
    <w:rsid w:val="00D65042"/>
    <w:rsid w:val="00D67FAD"/>
    <w:rsid w:val="00D7039E"/>
    <w:rsid w:val="00D74A7C"/>
    <w:rsid w:val="00D85DA7"/>
    <w:rsid w:val="00D903E8"/>
    <w:rsid w:val="00D915F2"/>
    <w:rsid w:val="00D97BA9"/>
    <w:rsid w:val="00DA23AB"/>
    <w:rsid w:val="00DA307E"/>
    <w:rsid w:val="00DA638A"/>
    <w:rsid w:val="00DA76D0"/>
    <w:rsid w:val="00DA7742"/>
    <w:rsid w:val="00DB76ED"/>
    <w:rsid w:val="00DC1983"/>
    <w:rsid w:val="00DC4754"/>
    <w:rsid w:val="00DC69BA"/>
    <w:rsid w:val="00DD3522"/>
    <w:rsid w:val="00DD47A2"/>
    <w:rsid w:val="00DD5CA2"/>
    <w:rsid w:val="00DD739E"/>
    <w:rsid w:val="00DD741B"/>
    <w:rsid w:val="00DE0391"/>
    <w:rsid w:val="00DE2079"/>
    <w:rsid w:val="00DE2631"/>
    <w:rsid w:val="00DF0D21"/>
    <w:rsid w:val="00DF1970"/>
    <w:rsid w:val="00DF616F"/>
    <w:rsid w:val="00E0041B"/>
    <w:rsid w:val="00E00956"/>
    <w:rsid w:val="00E02442"/>
    <w:rsid w:val="00E02826"/>
    <w:rsid w:val="00E03985"/>
    <w:rsid w:val="00E04ECE"/>
    <w:rsid w:val="00E11899"/>
    <w:rsid w:val="00E12CC3"/>
    <w:rsid w:val="00E1568E"/>
    <w:rsid w:val="00E17888"/>
    <w:rsid w:val="00E22481"/>
    <w:rsid w:val="00E2372A"/>
    <w:rsid w:val="00E30C47"/>
    <w:rsid w:val="00E35816"/>
    <w:rsid w:val="00E43487"/>
    <w:rsid w:val="00E44B9E"/>
    <w:rsid w:val="00E44ED1"/>
    <w:rsid w:val="00E603DE"/>
    <w:rsid w:val="00E625F4"/>
    <w:rsid w:val="00E76215"/>
    <w:rsid w:val="00E840C8"/>
    <w:rsid w:val="00E868C2"/>
    <w:rsid w:val="00E87236"/>
    <w:rsid w:val="00E87D19"/>
    <w:rsid w:val="00EA0165"/>
    <w:rsid w:val="00EB7D23"/>
    <w:rsid w:val="00EC490B"/>
    <w:rsid w:val="00ED2858"/>
    <w:rsid w:val="00ED5A3B"/>
    <w:rsid w:val="00ED5C1C"/>
    <w:rsid w:val="00ED6E29"/>
    <w:rsid w:val="00EE0C3F"/>
    <w:rsid w:val="00EE26E9"/>
    <w:rsid w:val="00EE3904"/>
    <w:rsid w:val="00EE3938"/>
    <w:rsid w:val="00EE4C13"/>
    <w:rsid w:val="00EE7B1F"/>
    <w:rsid w:val="00EF556C"/>
    <w:rsid w:val="00F00004"/>
    <w:rsid w:val="00F0451E"/>
    <w:rsid w:val="00F0562E"/>
    <w:rsid w:val="00F060B5"/>
    <w:rsid w:val="00F106B3"/>
    <w:rsid w:val="00F11ACA"/>
    <w:rsid w:val="00F13FE9"/>
    <w:rsid w:val="00F20F49"/>
    <w:rsid w:val="00F21CCC"/>
    <w:rsid w:val="00F245FF"/>
    <w:rsid w:val="00F31573"/>
    <w:rsid w:val="00F340EF"/>
    <w:rsid w:val="00F42BB0"/>
    <w:rsid w:val="00F42E58"/>
    <w:rsid w:val="00F43BDA"/>
    <w:rsid w:val="00F446B2"/>
    <w:rsid w:val="00F46838"/>
    <w:rsid w:val="00F46FF8"/>
    <w:rsid w:val="00F5234B"/>
    <w:rsid w:val="00F55E5D"/>
    <w:rsid w:val="00F610ED"/>
    <w:rsid w:val="00F74874"/>
    <w:rsid w:val="00F75CAB"/>
    <w:rsid w:val="00F80E1B"/>
    <w:rsid w:val="00F8146E"/>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7C0"/>
    <w:rsid w:val="00FC68C0"/>
    <w:rsid w:val="00FC6987"/>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999"/>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s://www.utmb.edu/newsroom/article11697.aspx" TargetMode="External"/><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intranet.utmb.edu/QHS/TheJointCommission"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www.utmb.edu/finance/payrollservi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utmb.us/2cl" TargetMode="External"/><Relationship Id="rId10" Type="http://schemas.openxmlformats.org/officeDocument/2006/relationships/image" Target="media/image1.jpe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s://innovationsinmind.utmb.edu/employee" TargetMode="External"/><Relationship Id="rId22" Type="http://schemas.openxmlformats.org/officeDocument/2006/relationships/image" Target="media/image9.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7989D-866A-4760-B9DC-5328F875F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1367</Words>
  <Characters>7793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9142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2</cp:revision>
  <cp:lastPrinted>2017-11-16T17:06:00Z</cp:lastPrinted>
  <dcterms:created xsi:type="dcterms:W3CDTF">2017-11-21T20:36:00Z</dcterms:created>
  <dcterms:modified xsi:type="dcterms:W3CDTF">2017-11-21T20:36:00Z</dcterms:modified>
</cp:coreProperties>
</file>