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301F40"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4473B"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1E24E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1542EDB" w:rsidR="009C2829" w:rsidRPr="000257FB" w:rsidRDefault="00331A4E" w:rsidP="0080543C">
            <w:pPr>
              <w:pStyle w:val="Header"/>
              <w:jc w:val="center"/>
              <w:rPr>
                <w:rFonts w:asciiTheme="majorHAnsi" w:hAnsiTheme="majorHAnsi"/>
                <w:b/>
              </w:rPr>
            </w:pPr>
            <w:r>
              <w:rPr>
                <w:rFonts w:asciiTheme="majorHAnsi" w:hAnsiTheme="majorHAnsi"/>
                <w:b/>
                <w:sz w:val="22"/>
              </w:rPr>
              <w:t>Oct. 26</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38B91BA0" w:rsidR="00936B3A" w:rsidRDefault="00936B3A" w:rsidP="003F0266">
            <w:pPr>
              <w:rPr>
                <w:rFonts w:ascii="Calibri Light" w:hAnsi="Calibri Light"/>
                <w:noProof/>
                <w:sz w:val="20"/>
              </w:rPr>
            </w:pPr>
          </w:p>
          <w:p w14:paraId="6E89D4E4" w14:textId="77777777" w:rsidR="00936B3A" w:rsidRDefault="00301F40" w:rsidP="008B6179">
            <w:pPr>
              <w:rPr>
                <w:rFonts w:ascii="Calibri Light" w:hAnsi="Calibri Light"/>
                <w:b/>
                <w:noProof/>
                <w:sz w:val="20"/>
              </w:rPr>
            </w:pPr>
            <w:r>
              <w:rPr>
                <w:rFonts w:ascii="Calibri Light" w:hAnsi="Calibri Light"/>
                <w:b/>
                <w:noProof/>
                <w:sz w:val="20"/>
              </w:rPr>
              <w:t>OCE</w:t>
            </w:r>
          </w:p>
          <w:p w14:paraId="71EACFBE" w14:textId="77777777" w:rsidR="00301F40" w:rsidRPr="00301F40" w:rsidRDefault="00301F40" w:rsidP="00301F40">
            <w:pPr>
              <w:rPr>
                <w:rFonts w:ascii="Calibri Light" w:hAnsi="Calibri Light"/>
                <w:noProof/>
                <w:sz w:val="20"/>
              </w:rPr>
            </w:pPr>
            <w:r w:rsidRPr="00301F40">
              <w:rPr>
                <w:rFonts w:ascii="Calibri Light" w:hAnsi="Calibri Light"/>
                <w:noProof/>
                <w:sz w:val="20"/>
              </w:rPr>
              <w:t xml:space="preserve">The clerkship directors had a successful retreat on 10/26. Dr. Bruce Leonard from the School of Nursing spoke about Online TBL and Cynde Ferris gave a talk about Distance Education Technology: Available Tools and Lessons Learned. New co-chairs for the clerkship directors committee were chosen: Dr. Melissa Smith-Phillips and Dr. Barney Karnath agreed to serve for the 17/18 Academic Year. </w:t>
            </w:r>
          </w:p>
          <w:p w14:paraId="5830A1F6" w14:textId="77777777" w:rsidR="00301F40" w:rsidRPr="00301F40" w:rsidRDefault="00301F40" w:rsidP="00301F40">
            <w:pPr>
              <w:rPr>
                <w:rFonts w:ascii="Calibri Light" w:hAnsi="Calibri Light"/>
                <w:noProof/>
                <w:sz w:val="20"/>
              </w:rPr>
            </w:pPr>
          </w:p>
          <w:p w14:paraId="5CC2309C" w14:textId="77777777" w:rsidR="00301F40" w:rsidRPr="00301F40" w:rsidRDefault="00301F40" w:rsidP="00301F40">
            <w:pPr>
              <w:rPr>
                <w:rFonts w:ascii="Calibri Light" w:hAnsi="Calibri Light"/>
                <w:noProof/>
                <w:sz w:val="20"/>
              </w:rPr>
            </w:pPr>
            <w:r w:rsidRPr="00301F40">
              <w:rPr>
                <w:rFonts w:ascii="Calibri Light" w:hAnsi="Calibri Light"/>
                <w:noProof/>
                <w:sz w:val="20"/>
              </w:rPr>
              <w:t xml:space="preserve">Dr. Ruth Levine was recently published in </w:t>
            </w:r>
            <w:r w:rsidRPr="00301F40">
              <w:rPr>
                <w:rFonts w:ascii="Calibri Light" w:hAnsi="Calibri Light"/>
                <w:i/>
                <w:iCs/>
                <w:noProof/>
                <w:sz w:val="20"/>
              </w:rPr>
              <w:t>Academic Psychiatry</w:t>
            </w:r>
            <w:r w:rsidRPr="00301F40">
              <w:rPr>
                <w:rFonts w:ascii="Calibri Light" w:hAnsi="Calibri Light"/>
                <w:noProof/>
                <w:sz w:val="20"/>
              </w:rPr>
              <w:t xml:space="preserve">: </w:t>
            </w:r>
          </w:p>
          <w:p w14:paraId="20CFAD23" w14:textId="77777777" w:rsidR="00301F40" w:rsidRPr="00301F40" w:rsidRDefault="00301F40" w:rsidP="00301F40">
            <w:pPr>
              <w:rPr>
                <w:rFonts w:ascii="Calibri Light" w:hAnsi="Calibri Light"/>
                <w:noProof/>
                <w:sz w:val="20"/>
              </w:rPr>
            </w:pPr>
            <w:r w:rsidRPr="00301F40">
              <w:rPr>
                <w:rFonts w:ascii="Calibri Light" w:hAnsi="Calibri Light"/>
                <w:noProof/>
                <w:sz w:val="20"/>
              </w:rPr>
              <w:t>The case for transitioning to pass/fail grading on Psychiatry clerkships. Joshi, A, Wolpa D, Haidet P, Thompson B, Levine R.  DOI:10.1007/s40596-017-0844-8.</w:t>
            </w:r>
          </w:p>
          <w:p w14:paraId="62ED5B37" w14:textId="77777777" w:rsidR="00301F40" w:rsidRPr="00301F40" w:rsidRDefault="00301F40" w:rsidP="008B6179">
            <w:pPr>
              <w:rPr>
                <w:rFonts w:ascii="Calibri Light" w:hAnsi="Calibri Light"/>
                <w:noProof/>
                <w:sz w:val="20"/>
              </w:rPr>
            </w:pPr>
            <w:bookmarkStart w:id="0" w:name="_GoBack"/>
            <w:bookmarkEnd w:id="0"/>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56940DB8" w14:textId="43A89135" w:rsidR="007E09F3" w:rsidRPr="003005B1" w:rsidRDefault="003005B1" w:rsidP="003005B1">
            <w:pPr>
              <w:rPr>
                <w:rFonts w:ascii="Calibri" w:hAnsi="Calibri"/>
                <w:b/>
              </w:rPr>
            </w:pPr>
            <w:r w:rsidRPr="003005B1">
              <w:rPr>
                <w:rFonts w:ascii="Calibri" w:hAnsi="Calibri"/>
                <w:b/>
              </w:rPr>
              <w:t>2017 My Total Rewards statements: </w:t>
            </w:r>
          </w:p>
          <w:p w14:paraId="75F5D139" w14:textId="3ADAF197" w:rsidR="003005B1" w:rsidRPr="003005B1" w:rsidRDefault="003005B1" w:rsidP="003005B1">
            <w:pPr>
              <w:rPr>
                <w:rFonts w:ascii="Calibri Light" w:hAnsi="Calibri Light"/>
                <w:sz w:val="21"/>
                <w:szCs w:val="21"/>
              </w:rPr>
            </w:pPr>
            <w:r w:rsidRPr="003005B1">
              <w:rPr>
                <w:rFonts w:ascii="Calibri Light" w:hAnsi="Calibri Light"/>
                <w:sz w:val="21"/>
                <w:szCs w:val="21"/>
              </w:rPr>
              <w:t>Total rewards statements for FY17 are now available through </w:t>
            </w:r>
            <w:hyperlink r:id="rId13" w:history="1">
              <w:r w:rsidRPr="003005B1">
                <w:rPr>
                  <w:rStyle w:val="Hyperlink"/>
                  <w:rFonts w:ascii="Calibri Light" w:hAnsi="Calibri Light"/>
                  <w:sz w:val="21"/>
                  <w:szCs w:val="21"/>
                </w:rPr>
                <w:t>Employee Self Service</w:t>
              </w:r>
            </w:hyperlink>
            <w:r w:rsidRPr="003005B1">
              <w:rPr>
                <w:rFonts w:ascii="Calibri Light" w:hAnsi="Calibri Light"/>
                <w:sz w:val="21"/>
                <w:szCs w:val="21"/>
              </w:rPr>
              <w:t> for all full- and part-time employees. This personalized statement reflects the institution’s commitment and investment in our employees and is designed to help you better understand the true value of the total compen</w:t>
            </w:r>
            <w:r>
              <w:rPr>
                <w:rFonts w:ascii="Calibri Light" w:hAnsi="Calibri Light"/>
                <w:sz w:val="21"/>
                <w:szCs w:val="21"/>
              </w:rPr>
              <w:t xml:space="preserve">sation package you receive from </w:t>
            </w:r>
            <w:r w:rsidRPr="003005B1">
              <w:rPr>
                <w:rFonts w:ascii="Calibri Light" w:hAnsi="Calibri Light"/>
                <w:sz w:val="21"/>
                <w:szCs w:val="21"/>
              </w:rPr>
              <w:t>UTMB. See </w:t>
            </w:r>
            <w:hyperlink r:id="rId14" w:history="1">
              <w:r w:rsidRPr="003005B1">
                <w:rPr>
                  <w:rStyle w:val="Hyperlink"/>
                  <w:rFonts w:ascii="Calibri Light" w:hAnsi="Calibri Light"/>
                  <w:sz w:val="21"/>
                  <w:szCs w:val="21"/>
                </w:rPr>
                <w:t>https://hr.utmb.edu/hrbbc/benefits/total_rewards/</w:t>
              </w:r>
            </w:hyperlink>
            <w:r w:rsidRPr="003005B1">
              <w:rPr>
                <w:rFonts w:ascii="Calibri Light" w:hAnsi="Calibri Light"/>
                <w:sz w:val="21"/>
                <w:szCs w:val="21"/>
              </w:rPr>
              <w:t> for details on accessing and reading your statement.</w:t>
            </w:r>
          </w:p>
          <w:p w14:paraId="198A78E5" w14:textId="7C731015" w:rsidR="00315952" w:rsidRPr="003005B1" w:rsidRDefault="003005B1" w:rsidP="00AE03F6">
            <w:pPr>
              <w:rPr>
                <w:color w:val="000000"/>
              </w:rPr>
            </w:pPr>
            <w:r>
              <w:rPr>
                <w:rFonts w:ascii="Arial" w:hAnsi="Arial" w:cs="Arial"/>
                <w:color w:val="000000"/>
              </w:rPr>
              <w:t> </w:t>
            </w:r>
          </w:p>
          <w:p w14:paraId="6959E499" w14:textId="77777777" w:rsidR="003005B1" w:rsidRPr="003005B1" w:rsidRDefault="003005B1" w:rsidP="003005B1">
            <w:pPr>
              <w:rPr>
                <w:rFonts w:ascii="Calibri" w:hAnsi="Calibri" w:cs="Arial"/>
                <w:color w:val="000000"/>
              </w:rPr>
            </w:pPr>
            <w:r w:rsidRPr="003005B1">
              <w:rPr>
                <w:rFonts w:ascii="Calibri" w:hAnsi="Calibri" w:cs="Arial"/>
                <w:b/>
                <w:bCs/>
                <w:color w:val="000000"/>
              </w:rPr>
              <w:t>SECC update, campaign extension:</w:t>
            </w:r>
            <w:r w:rsidRPr="003005B1">
              <w:rPr>
                <w:rFonts w:ascii="Calibri" w:hAnsi="Calibri" w:cs="Arial"/>
                <w:color w:val="000000"/>
              </w:rPr>
              <w:t> </w:t>
            </w:r>
          </w:p>
          <w:p w14:paraId="5D10D21F" w14:textId="01A4F8BE" w:rsidR="003005B1" w:rsidRPr="003005B1" w:rsidRDefault="003005B1" w:rsidP="003005B1">
            <w:pPr>
              <w:rPr>
                <w:rFonts w:ascii="Calibri Light" w:hAnsi="Calibri Light"/>
                <w:color w:val="000000"/>
                <w:sz w:val="21"/>
                <w:szCs w:val="21"/>
              </w:rPr>
            </w:pPr>
            <w:r w:rsidRPr="003005B1">
              <w:rPr>
                <w:rFonts w:ascii="Calibri Light" w:hAnsi="Calibri Light" w:cs="Arial"/>
                <w:color w:val="000000"/>
                <w:sz w:val="21"/>
                <w:szCs w:val="21"/>
              </w:rPr>
              <w:t xml:space="preserve">As of 11 a.m. Oct. 26, </w:t>
            </w:r>
            <w:r>
              <w:rPr>
                <w:rFonts w:ascii="Calibri Light" w:hAnsi="Calibri Light" w:cs="Arial"/>
                <w:color w:val="000000"/>
                <w:sz w:val="21"/>
                <w:szCs w:val="21"/>
              </w:rPr>
              <w:t>nearly</w:t>
            </w:r>
            <w:r w:rsidRPr="003005B1">
              <w:rPr>
                <w:rFonts w:ascii="Calibri Light" w:hAnsi="Calibri Light" w:cs="Arial"/>
                <w:color w:val="000000"/>
                <w:sz w:val="21"/>
                <w:szCs w:val="21"/>
              </w:rPr>
              <w:t> $</w:t>
            </w:r>
            <w:r w:rsidRPr="003005B1">
              <w:rPr>
                <w:rFonts w:ascii="Calibri Light" w:hAnsi="Calibri Light" w:cs="Arial"/>
                <w:sz w:val="21"/>
                <w:szCs w:val="21"/>
              </w:rPr>
              <w:t>440,000 </w:t>
            </w:r>
            <w:r w:rsidRPr="003005B1">
              <w:rPr>
                <w:rFonts w:ascii="Calibri Light" w:hAnsi="Calibri Light" w:cs="Arial"/>
                <w:color w:val="000000"/>
                <w:sz w:val="21"/>
                <w:szCs w:val="21"/>
              </w:rPr>
              <w:t>has been pledged to this year’s State Employee Charitable Campaign. Our goal is to raise at least $550,000 to support our communities, so please consider giving to one or more of the many deserving local, national and international charities on our SECC site at </w:t>
            </w:r>
            <w:hyperlink r:id="rId15" w:history="1">
              <w:r w:rsidRPr="003005B1">
                <w:rPr>
                  <w:rStyle w:val="Hyperlink"/>
                  <w:rFonts w:ascii="Calibri Light" w:hAnsi="Calibri Light" w:cs="Arial"/>
                  <w:sz w:val="21"/>
                  <w:szCs w:val="21"/>
                </w:rPr>
                <w:t>www.utmb.edu/secc</w:t>
              </w:r>
            </w:hyperlink>
            <w:r w:rsidRPr="003005B1">
              <w:rPr>
                <w:rFonts w:ascii="Calibri Light" w:hAnsi="Calibri Light" w:cs="Arial"/>
                <w:color w:val="000000"/>
                <w:sz w:val="21"/>
                <w:szCs w:val="21"/>
              </w:rPr>
              <w:t>. The campaign period has been extended to Nov. 3 to accommodate those who still want to contribute to this vital initiative. Reminder: As an added bonus, this year every employee who contributes at least $20 to the campaign through payroll deduction will receive a 100MB upgrade to their email inbox allocation.</w:t>
            </w:r>
          </w:p>
          <w:p w14:paraId="49311A4B" w14:textId="77777777" w:rsidR="00315952" w:rsidRDefault="00315952" w:rsidP="00AE03F6">
            <w:pPr>
              <w:rPr>
                <w:rFonts w:ascii="Calibri Light" w:hAnsi="Calibri Light"/>
                <w:sz w:val="21"/>
                <w:szCs w:val="21"/>
              </w:rPr>
            </w:pPr>
          </w:p>
          <w:p w14:paraId="2708D71B" w14:textId="77777777" w:rsidR="003005B1" w:rsidRPr="003005B1" w:rsidRDefault="003005B1" w:rsidP="005D7C91">
            <w:pPr>
              <w:rPr>
                <w:rFonts w:ascii="Calibri" w:hAnsi="Calibri" w:cs="Arial"/>
                <w:b/>
                <w:bCs/>
                <w:color w:val="000000"/>
              </w:rPr>
            </w:pPr>
            <w:r w:rsidRPr="003005B1">
              <w:rPr>
                <w:rFonts w:ascii="Calibri" w:hAnsi="Calibri" w:cs="Arial"/>
                <w:b/>
                <w:bCs/>
                <w:color w:val="000000"/>
              </w:rPr>
              <w:t>Action Item—UT FLEX program reminder: </w:t>
            </w:r>
          </w:p>
          <w:p w14:paraId="231D818E" w14:textId="77777777" w:rsidR="003005B1" w:rsidRPr="003005B1" w:rsidRDefault="003005B1" w:rsidP="003005B1">
            <w:pPr>
              <w:rPr>
                <w:rFonts w:ascii="Calibri Light" w:hAnsi="Calibri Light"/>
                <w:color w:val="000000"/>
                <w:sz w:val="21"/>
                <w:szCs w:val="21"/>
              </w:rPr>
            </w:pPr>
            <w:r w:rsidRPr="003005B1">
              <w:rPr>
                <w:rFonts w:ascii="Calibri Light" w:hAnsi="Calibri Light" w:cs="Arial"/>
                <w:color w:val="000000"/>
                <w:sz w:val="21"/>
                <w:szCs w:val="21"/>
              </w:rPr>
              <w:t>The deadlines for incurring expenses and filing reimbursement claims for your FY17 flexible spending accounts are quickly approaching.</w:t>
            </w:r>
          </w:p>
          <w:p w14:paraId="3DFFE480" w14:textId="77777777" w:rsidR="003005B1" w:rsidRPr="003005B1" w:rsidRDefault="003005B1" w:rsidP="003005B1">
            <w:pPr>
              <w:rPr>
                <w:rFonts w:ascii="Calibri Light" w:hAnsi="Calibri Light"/>
                <w:color w:val="000000"/>
                <w:sz w:val="21"/>
                <w:szCs w:val="21"/>
              </w:rPr>
            </w:pPr>
            <w:r w:rsidRPr="003005B1">
              <w:rPr>
                <w:rFonts w:ascii="Calibri Light" w:hAnsi="Calibri Light" w:cs="Arial"/>
                <w:color w:val="000000"/>
                <w:sz w:val="21"/>
                <w:szCs w:val="21"/>
              </w:rPr>
              <w:t> </w:t>
            </w:r>
          </w:p>
          <w:p w14:paraId="1CEDDA05" w14:textId="77777777" w:rsidR="003005B1" w:rsidRPr="003005B1" w:rsidRDefault="003005B1" w:rsidP="003005B1">
            <w:pPr>
              <w:rPr>
                <w:rFonts w:ascii="Calibri Light" w:hAnsi="Calibri Light"/>
                <w:color w:val="000000"/>
                <w:sz w:val="21"/>
                <w:szCs w:val="21"/>
              </w:rPr>
            </w:pPr>
            <w:r w:rsidRPr="003005B1">
              <w:rPr>
                <w:rFonts w:ascii="Calibri Light" w:hAnsi="Calibri Light" w:cs="Arial"/>
                <w:color w:val="000000"/>
                <w:sz w:val="21"/>
                <w:szCs w:val="21"/>
                <w:u w:val="single"/>
              </w:rPr>
              <w:t>UT FLEX Health Care Reimbursement Account (HCRA)</w:t>
            </w:r>
          </w:p>
          <w:p w14:paraId="6BD1AB49" w14:textId="77777777" w:rsidR="003005B1" w:rsidRPr="003005B1" w:rsidRDefault="003005B1" w:rsidP="003005B1">
            <w:pPr>
              <w:pStyle w:val="ListParagraph"/>
              <w:numPr>
                <w:ilvl w:val="0"/>
                <w:numId w:val="14"/>
              </w:numPr>
              <w:rPr>
                <w:rFonts w:ascii="Calibri Light" w:eastAsia="Times New Roman" w:hAnsi="Calibri Light"/>
                <w:color w:val="000000"/>
                <w:sz w:val="21"/>
                <w:szCs w:val="21"/>
              </w:rPr>
            </w:pPr>
            <w:r w:rsidRPr="003005B1">
              <w:rPr>
                <w:rFonts w:ascii="Calibri Light" w:eastAsia="Times New Roman" w:hAnsi="Calibri Light" w:cs="Arial"/>
                <w:color w:val="000000"/>
                <w:sz w:val="21"/>
                <w:szCs w:val="21"/>
              </w:rPr>
              <w:t>Last day to incur expenses – Nov. 15</w:t>
            </w:r>
          </w:p>
          <w:p w14:paraId="65A4F592" w14:textId="77777777" w:rsidR="003005B1" w:rsidRPr="003005B1" w:rsidRDefault="003005B1" w:rsidP="003005B1">
            <w:pPr>
              <w:pStyle w:val="ListParagraph"/>
              <w:numPr>
                <w:ilvl w:val="0"/>
                <w:numId w:val="14"/>
              </w:numPr>
              <w:rPr>
                <w:rFonts w:ascii="Calibri Light" w:eastAsia="Times New Roman" w:hAnsi="Calibri Light"/>
                <w:color w:val="000000"/>
                <w:sz w:val="21"/>
                <w:szCs w:val="21"/>
              </w:rPr>
            </w:pPr>
            <w:r w:rsidRPr="003005B1">
              <w:rPr>
                <w:rFonts w:ascii="Calibri Light" w:eastAsia="Times New Roman" w:hAnsi="Calibri Light" w:cs="Arial"/>
                <w:color w:val="000000"/>
                <w:sz w:val="21"/>
                <w:szCs w:val="21"/>
              </w:rPr>
              <w:t>Claim filing deadline – Nov. 30</w:t>
            </w:r>
          </w:p>
          <w:p w14:paraId="046DCB2B" w14:textId="77777777" w:rsidR="003005B1" w:rsidRPr="003005B1" w:rsidRDefault="003005B1" w:rsidP="003005B1">
            <w:pPr>
              <w:rPr>
                <w:rFonts w:ascii="Calibri Light" w:eastAsiaTheme="minorHAnsi" w:hAnsi="Calibri Light"/>
                <w:color w:val="000000"/>
                <w:sz w:val="21"/>
                <w:szCs w:val="21"/>
              </w:rPr>
            </w:pPr>
            <w:r w:rsidRPr="003005B1">
              <w:rPr>
                <w:rFonts w:ascii="Calibri Light" w:hAnsi="Calibri Light" w:cs="Arial"/>
                <w:color w:val="000000"/>
                <w:sz w:val="21"/>
                <w:szCs w:val="21"/>
              </w:rPr>
              <w:t> </w:t>
            </w:r>
          </w:p>
          <w:p w14:paraId="0317DE08" w14:textId="77777777" w:rsidR="003005B1" w:rsidRPr="003005B1" w:rsidRDefault="003005B1" w:rsidP="003005B1">
            <w:pPr>
              <w:rPr>
                <w:rFonts w:ascii="Calibri Light" w:hAnsi="Calibri Light"/>
                <w:color w:val="000000"/>
                <w:sz w:val="21"/>
                <w:szCs w:val="21"/>
              </w:rPr>
            </w:pPr>
            <w:r w:rsidRPr="003005B1">
              <w:rPr>
                <w:rFonts w:ascii="Calibri Light" w:hAnsi="Calibri Light" w:cs="Arial"/>
                <w:color w:val="000000"/>
                <w:sz w:val="21"/>
                <w:szCs w:val="21"/>
                <w:u w:val="single"/>
              </w:rPr>
              <w:t>UT FLEX Dependent Day Care Reimbursement Account (DCRA)</w:t>
            </w:r>
          </w:p>
          <w:p w14:paraId="45AD8F3B" w14:textId="77777777" w:rsidR="003005B1" w:rsidRPr="003005B1" w:rsidRDefault="003005B1" w:rsidP="003005B1">
            <w:pPr>
              <w:pStyle w:val="ListParagraph"/>
              <w:numPr>
                <w:ilvl w:val="0"/>
                <w:numId w:val="12"/>
              </w:numPr>
              <w:rPr>
                <w:rFonts w:ascii="Calibri Light" w:eastAsia="Times New Roman" w:hAnsi="Calibri Light"/>
                <w:color w:val="000000"/>
                <w:sz w:val="21"/>
                <w:szCs w:val="21"/>
              </w:rPr>
            </w:pPr>
            <w:r w:rsidRPr="003005B1">
              <w:rPr>
                <w:rFonts w:ascii="Calibri Light" w:eastAsia="Times New Roman" w:hAnsi="Calibri Light" w:cs="Arial"/>
                <w:color w:val="000000"/>
                <w:sz w:val="21"/>
                <w:szCs w:val="21"/>
              </w:rPr>
              <w:t>Last day to incur expenses – Aug. 31 (last day of plan year)</w:t>
            </w:r>
          </w:p>
          <w:p w14:paraId="2E5C985D" w14:textId="77777777" w:rsidR="003005B1" w:rsidRPr="003005B1" w:rsidRDefault="003005B1" w:rsidP="003005B1">
            <w:pPr>
              <w:pStyle w:val="ListParagraph"/>
              <w:numPr>
                <w:ilvl w:val="0"/>
                <w:numId w:val="12"/>
              </w:numPr>
              <w:rPr>
                <w:rFonts w:ascii="Calibri Light" w:eastAsia="Times New Roman" w:hAnsi="Calibri Light"/>
                <w:color w:val="000000"/>
                <w:sz w:val="21"/>
                <w:szCs w:val="21"/>
              </w:rPr>
            </w:pPr>
            <w:r w:rsidRPr="003005B1">
              <w:rPr>
                <w:rFonts w:ascii="Calibri Light" w:eastAsia="Times New Roman" w:hAnsi="Calibri Light" w:cs="Arial"/>
                <w:color w:val="000000"/>
                <w:sz w:val="21"/>
                <w:szCs w:val="21"/>
              </w:rPr>
              <w:t>Claim filing deadline – Nov. 30</w:t>
            </w:r>
          </w:p>
          <w:p w14:paraId="314DEEAB" w14:textId="77777777" w:rsidR="003005B1" w:rsidRPr="003005B1" w:rsidRDefault="003005B1" w:rsidP="003005B1">
            <w:pPr>
              <w:rPr>
                <w:rFonts w:ascii="Calibri Light" w:eastAsiaTheme="minorHAnsi" w:hAnsi="Calibri Light"/>
                <w:color w:val="000000"/>
                <w:sz w:val="21"/>
                <w:szCs w:val="21"/>
              </w:rPr>
            </w:pPr>
            <w:r w:rsidRPr="003005B1">
              <w:rPr>
                <w:rFonts w:ascii="Calibri Light" w:hAnsi="Calibri Light" w:cs="Arial"/>
                <w:color w:val="000000"/>
                <w:sz w:val="21"/>
                <w:szCs w:val="21"/>
              </w:rPr>
              <w:t> </w:t>
            </w:r>
          </w:p>
          <w:p w14:paraId="15C9E985" w14:textId="77777777" w:rsidR="003005B1" w:rsidRPr="003005B1" w:rsidRDefault="003005B1" w:rsidP="003005B1">
            <w:pPr>
              <w:rPr>
                <w:rFonts w:ascii="Calibri Light" w:hAnsi="Calibri Light"/>
                <w:color w:val="000000"/>
                <w:sz w:val="21"/>
                <w:szCs w:val="21"/>
              </w:rPr>
            </w:pPr>
            <w:r w:rsidRPr="003005B1">
              <w:rPr>
                <w:rFonts w:ascii="Calibri Light" w:hAnsi="Calibri Light" w:cs="Arial"/>
                <w:color w:val="000000"/>
                <w:sz w:val="21"/>
                <w:szCs w:val="21"/>
              </w:rPr>
              <w:t>See </w:t>
            </w:r>
            <w:hyperlink r:id="rId16" w:history="1">
              <w:r w:rsidRPr="003005B1">
                <w:rPr>
                  <w:rStyle w:val="Hyperlink"/>
                  <w:rFonts w:ascii="Calibri Light" w:hAnsi="Calibri Light" w:cs="Arial"/>
                  <w:sz w:val="21"/>
                  <w:szCs w:val="21"/>
                </w:rPr>
                <w:t>www.myutflex.com</w:t>
              </w:r>
            </w:hyperlink>
            <w:r w:rsidRPr="003005B1">
              <w:rPr>
                <w:rFonts w:ascii="Calibri Light" w:hAnsi="Calibri Light" w:cs="Arial"/>
                <w:color w:val="000000"/>
                <w:sz w:val="21"/>
                <w:szCs w:val="21"/>
              </w:rPr>
              <w:t> for list of eligible expenses or to file a claim.</w:t>
            </w:r>
          </w:p>
          <w:p w14:paraId="4C0A3ECD" w14:textId="77777777" w:rsidR="005D7C91" w:rsidRDefault="005D7C91" w:rsidP="005D7C91">
            <w:pPr>
              <w:rPr>
                <w:rFonts w:ascii="Calibri" w:eastAsia="Times New Roman" w:hAnsi="Calibri"/>
                <w:color w:val="000000"/>
              </w:rPr>
            </w:pPr>
          </w:p>
          <w:p w14:paraId="7F662848" w14:textId="77777777" w:rsidR="003005B1" w:rsidRPr="003005B1" w:rsidRDefault="003005B1" w:rsidP="005D7C91">
            <w:pPr>
              <w:rPr>
                <w:rFonts w:ascii="Calibri" w:hAnsi="Calibri" w:cs="Arial"/>
                <w:b/>
                <w:bCs/>
                <w:color w:val="000000"/>
              </w:rPr>
            </w:pPr>
            <w:r w:rsidRPr="003005B1">
              <w:rPr>
                <w:rFonts w:ascii="Calibri" w:hAnsi="Calibri" w:cs="Arial"/>
                <w:b/>
                <w:bCs/>
                <w:color w:val="000000"/>
              </w:rPr>
              <w:t>Welcome: </w:t>
            </w:r>
          </w:p>
          <w:p w14:paraId="33D5B003" w14:textId="621423B1" w:rsidR="005D7C91" w:rsidRPr="003005B1" w:rsidRDefault="003005B1" w:rsidP="005D7C91">
            <w:pPr>
              <w:rPr>
                <w:rFonts w:ascii="Calibri Light" w:eastAsia="Times New Roman" w:hAnsi="Calibri Light"/>
                <w:color w:val="000000"/>
                <w:sz w:val="21"/>
                <w:szCs w:val="21"/>
              </w:rPr>
            </w:pPr>
            <w:r w:rsidRPr="003005B1">
              <w:rPr>
                <w:rFonts w:ascii="Calibri Light" w:hAnsi="Calibri Light" w:cs="Arial"/>
                <w:color w:val="000000"/>
                <w:sz w:val="21"/>
                <w:szCs w:val="21"/>
              </w:rPr>
              <w:t xml:space="preserve">Vivian D. </w:t>
            </w:r>
            <w:proofErr w:type="spellStart"/>
            <w:r w:rsidRPr="003005B1">
              <w:rPr>
                <w:rFonts w:ascii="Calibri Light" w:hAnsi="Calibri Light" w:cs="Arial"/>
                <w:color w:val="000000"/>
                <w:sz w:val="21"/>
                <w:szCs w:val="21"/>
              </w:rPr>
              <w:t>Kardow</w:t>
            </w:r>
            <w:proofErr w:type="spellEnd"/>
            <w:r w:rsidRPr="003005B1">
              <w:rPr>
                <w:rFonts w:ascii="Calibri Light" w:hAnsi="Calibri Light" w:cs="Arial"/>
                <w:color w:val="000000"/>
                <w:sz w:val="21"/>
                <w:szCs w:val="21"/>
              </w:rPr>
              <w:t>, SHRM-SCP, SPHR, joined UTMB as vice president of Human Resources and Employee Services on Oct. 23. In this role, Vivian will be responsible for partnering with executive leadership to provide overall strategic planning and management of UTMB’s human resource services and programs. Please join us in welcoming Vivian to the UTMB community.</w:t>
            </w:r>
          </w:p>
        </w:tc>
      </w:tr>
      <w:tr w:rsidR="009C2829" w14:paraId="10CA5146"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8C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46"/>
        </w:trPr>
        <w:tc>
          <w:tcPr>
            <w:tcW w:w="5130" w:type="dxa"/>
            <w:gridSpan w:val="3"/>
            <w:vMerge w:val="restart"/>
            <w:tcBorders>
              <w:top w:val="single" w:sz="8" w:space="0" w:color="auto"/>
              <w:left w:val="single" w:sz="8" w:space="0" w:color="auto"/>
              <w:right w:val="single" w:sz="4" w:space="0" w:color="auto"/>
            </w:tcBorders>
          </w:tcPr>
          <w:p w14:paraId="737E502E" w14:textId="77777777" w:rsidR="00924031" w:rsidRDefault="00924031" w:rsidP="00F90195">
            <w:pPr>
              <w:rPr>
                <w:rFonts w:ascii="Calibri Light" w:eastAsia="Times New Roman" w:hAnsi="Calibri Light" w:cs="Arial"/>
                <w:color w:val="000000"/>
                <w:sz w:val="21"/>
                <w:szCs w:val="21"/>
              </w:rPr>
            </w:pPr>
          </w:p>
          <w:p w14:paraId="4FD6DD89" w14:textId="77777777" w:rsidR="00924031" w:rsidRDefault="00924031" w:rsidP="00924031">
            <w:pPr>
              <w:rPr>
                <w:rFonts w:ascii="Calibri" w:hAnsi="Calibri" w:cs="Arial"/>
                <w:b/>
                <w:color w:val="FF0000"/>
                <w:sz w:val="21"/>
                <w:szCs w:val="21"/>
              </w:rPr>
            </w:pPr>
            <w:r w:rsidRPr="00924031">
              <w:rPr>
                <w:rFonts w:ascii="Calibri" w:hAnsi="Calibri" w:cs="Arial"/>
                <w:b/>
                <w:color w:val="FF0000"/>
                <w:sz w:val="21"/>
                <w:szCs w:val="21"/>
              </w:rPr>
              <w:t>HURRICANE HARVEY</w:t>
            </w:r>
          </w:p>
          <w:p w14:paraId="00FDAF1C" w14:textId="77777777" w:rsidR="00924031" w:rsidRPr="00924031" w:rsidRDefault="00924031" w:rsidP="00924031">
            <w:pPr>
              <w:rPr>
                <w:rFonts w:ascii="Calibri" w:hAnsi="Calibri" w:cs="Arial"/>
                <w:color w:val="000000"/>
              </w:rPr>
            </w:pPr>
            <w:r w:rsidRPr="00924031">
              <w:rPr>
                <w:rFonts w:ascii="Calibri" w:hAnsi="Calibri" w:cs="Arial"/>
                <w:b/>
                <w:bCs/>
                <w:color w:val="000000"/>
              </w:rPr>
              <w:t>UTMB Recovery Fund:</w:t>
            </w:r>
            <w:r w:rsidRPr="00924031">
              <w:rPr>
                <w:rFonts w:ascii="Calibri" w:hAnsi="Calibri" w:cs="Arial"/>
                <w:color w:val="000000"/>
              </w:rPr>
              <w:t> </w:t>
            </w:r>
          </w:p>
          <w:p w14:paraId="1F336C96" w14:textId="77777777" w:rsidR="00924031" w:rsidRPr="00924031" w:rsidRDefault="00924031" w:rsidP="00924031">
            <w:pPr>
              <w:rPr>
                <w:rFonts w:ascii="Calibri Light" w:hAnsi="Calibri Light"/>
                <w:color w:val="000000"/>
                <w:sz w:val="21"/>
                <w:szCs w:val="21"/>
              </w:rPr>
            </w:pPr>
            <w:r w:rsidRPr="00924031">
              <w:rPr>
                <w:rFonts w:ascii="Calibri Light" w:hAnsi="Calibri Light" w:cs="Arial"/>
                <w:color w:val="000000"/>
                <w:sz w:val="21"/>
                <w:szCs w:val="21"/>
              </w:rPr>
              <w:t>The UTMB Employee Recovery Fund Committee has completed its review of the nearly 600 applications for Hurricane Harvey assistance. Approximately $172,000 was raised through the generous contributions of fellow UTMB employees, vendors and other organizations to help our employees in need. The United Way of Galveston is now processing the assistance checks for those applications which were approved. The assistance checks will come in a United Way of Galveston envelope, hopefully within the next 10-14 days to the address listed on each application. </w:t>
            </w:r>
          </w:p>
          <w:p w14:paraId="12D97ECD" w14:textId="77777777" w:rsidR="00924031" w:rsidRDefault="00924031" w:rsidP="00924031">
            <w:pPr>
              <w:rPr>
                <w:rFonts w:ascii="Calibri" w:eastAsia="Times New Roman" w:hAnsi="Calibri"/>
                <w:b/>
                <w:sz w:val="21"/>
                <w:szCs w:val="21"/>
              </w:rPr>
            </w:pPr>
          </w:p>
          <w:p w14:paraId="3CE24851" w14:textId="77777777" w:rsidR="00924031" w:rsidRPr="00924031" w:rsidRDefault="00924031" w:rsidP="00924031">
            <w:pPr>
              <w:rPr>
                <w:rFonts w:ascii="Calibri" w:hAnsi="Calibri" w:cs="Arial"/>
                <w:color w:val="000000"/>
              </w:rPr>
            </w:pPr>
            <w:r w:rsidRPr="00924031">
              <w:rPr>
                <w:rFonts w:ascii="Calibri" w:hAnsi="Calibri" w:cs="Arial"/>
                <w:b/>
                <w:bCs/>
                <w:color w:val="000000"/>
              </w:rPr>
              <w:t>Texas Hospital Association (THA) Fund:</w:t>
            </w:r>
            <w:r w:rsidRPr="00924031">
              <w:rPr>
                <w:rFonts w:ascii="Calibri" w:hAnsi="Calibri" w:cs="Arial"/>
                <w:color w:val="000000"/>
              </w:rPr>
              <w:t> </w:t>
            </w:r>
          </w:p>
          <w:p w14:paraId="4FFD1258" w14:textId="77777777" w:rsidR="00924031" w:rsidRDefault="00924031" w:rsidP="00924031">
            <w:pPr>
              <w:rPr>
                <w:rFonts w:ascii="Calibri Light" w:hAnsi="Calibri Light" w:cs="Arial"/>
                <w:color w:val="000000"/>
                <w:sz w:val="21"/>
                <w:szCs w:val="21"/>
              </w:rPr>
            </w:pPr>
            <w:r w:rsidRPr="00924031">
              <w:rPr>
                <w:rFonts w:ascii="Calibri Light" w:hAnsi="Calibri Light" w:cs="Arial"/>
                <w:color w:val="000000"/>
                <w:sz w:val="21"/>
                <w:szCs w:val="21"/>
              </w:rPr>
              <w:t>The Employee Recovery Fund Committee has also completed reviewing more than 1,000 applications from UTMB employees seeking assistance through the Texas Hospital Association (THA) Fund. THA has offered assistance to UTMB employees and to the affected workers of all its member hospitals throughout Southeast Texas who suffered significant damage during Hurricane Harvey.  THA expects to review all applications by the third week in November and disburse funds before Thanksgiving. THA has not yet released the total amount raised to assist area employees.</w:t>
            </w:r>
          </w:p>
          <w:p w14:paraId="3AB5A411" w14:textId="0C4ED840" w:rsidR="00924031" w:rsidRDefault="00924031" w:rsidP="00924031">
            <w:pPr>
              <w:rPr>
                <w:rFonts w:ascii="Calibri Light" w:hAnsi="Calibri Light" w:cs="Arial"/>
                <w:color w:val="000000"/>
                <w:sz w:val="21"/>
                <w:szCs w:val="21"/>
              </w:rPr>
            </w:pPr>
            <w:r>
              <w:rPr>
                <w:rFonts w:asciiTheme="majorHAnsi" w:hAnsiTheme="majorHAnsi"/>
                <w:noProof/>
                <w:sz w:val="20"/>
              </w:rPr>
              <w:drawing>
                <wp:anchor distT="0" distB="0" distL="114300" distR="114300" simplePos="0" relativeHeight="251759104" behindDoc="0" locked="0" layoutInCell="1" allowOverlap="1" wp14:anchorId="1BCD75A6" wp14:editId="5455E24C">
                  <wp:simplePos x="0" y="0"/>
                  <wp:positionH relativeFrom="column">
                    <wp:posOffset>-10160</wp:posOffset>
                  </wp:positionH>
                  <wp:positionV relativeFrom="paragraph">
                    <wp:posOffset>118110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p>
          <w:p w14:paraId="656401CE" w14:textId="7DD7648F" w:rsidR="00924031" w:rsidRPr="00924031" w:rsidRDefault="00924031" w:rsidP="00924031">
            <w:pPr>
              <w:rPr>
                <w:rFonts w:ascii="Calibri" w:hAnsi="Calibri"/>
                <w:color w:val="000000"/>
                <w:sz w:val="21"/>
                <w:szCs w:val="21"/>
              </w:rPr>
            </w:pPr>
            <w:r>
              <w:rPr>
                <w:rFonts w:ascii="Calibri" w:hAnsi="Calibri" w:cs="Arial"/>
                <w:b/>
                <w:bCs/>
                <w:color w:val="000000"/>
              </w:rPr>
              <w:t xml:space="preserve">        </w:t>
            </w:r>
            <w:r w:rsidRPr="00924031">
              <w:rPr>
                <w:rFonts w:ascii="Calibri" w:hAnsi="Calibri" w:cs="Arial"/>
                <w:b/>
                <w:bCs/>
                <w:color w:val="000000"/>
              </w:rPr>
              <w:t>Latest “The Joint Commission Spotlight” and “Patient Safety Net News” now available: </w:t>
            </w:r>
          </w:p>
          <w:p w14:paraId="3AD2A286" w14:textId="77777777" w:rsidR="00924031" w:rsidRDefault="00924031" w:rsidP="00924031">
            <w:pPr>
              <w:rPr>
                <w:rFonts w:ascii="Calibri Light" w:hAnsi="Calibri Light" w:cs="Arial"/>
                <w:color w:val="000000"/>
                <w:sz w:val="21"/>
                <w:szCs w:val="21"/>
              </w:rPr>
            </w:pPr>
            <w:r w:rsidRPr="00924031">
              <w:rPr>
                <w:rFonts w:ascii="Calibri Light" w:hAnsi="Calibri Light" w:cs="Arial"/>
                <w:color w:val="000000"/>
                <w:sz w:val="21"/>
                <w:szCs w:val="21"/>
              </w:rPr>
              <w:t>The latest Joint Commission Spotlight, Medical Staff Privileges &amp; Performance Verification, is now available online at </w:t>
            </w:r>
            <w:hyperlink r:id="rId21" w:history="1">
              <w:r w:rsidRPr="00924031">
                <w:rPr>
                  <w:rStyle w:val="Hyperlink"/>
                  <w:rFonts w:ascii="Calibri Light" w:hAnsi="Calibri Light" w:cs="Arial"/>
                  <w:sz w:val="21"/>
                  <w:szCs w:val="21"/>
                </w:rPr>
                <w:t>https://intranet.utmb.edu/QHS/TheJointCommission/Spotlights.asp</w:t>
              </w:r>
            </w:hyperlink>
            <w:r w:rsidRPr="00924031">
              <w:rPr>
                <w:rFonts w:ascii="Calibri Light" w:hAnsi="Calibri Light" w:cs="Arial"/>
                <w:color w:val="000000"/>
                <w:sz w:val="21"/>
                <w:szCs w:val="21"/>
              </w:rPr>
              <w:t xml:space="preserve">. Topics covered include Focused Professional Practice Evaluation (FPPE) and Ongoing Professional Practice Evaluation (OPPE), which evaluate the privilege-specific competence of practitioners. </w:t>
            </w:r>
          </w:p>
          <w:p w14:paraId="45C52DC5" w14:textId="77777777" w:rsidR="00924031" w:rsidRDefault="00924031" w:rsidP="00924031">
            <w:pPr>
              <w:rPr>
                <w:rFonts w:ascii="Calibri Light" w:hAnsi="Calibri Light" w:cs="Arial"/>
                <w:color w:val="000000"/>
                <w:sz w:val="21"/>
                <w:szCs w:val="21"/>
              </w:rPr>
            </w:pPr>
          </w:p>
          <w:p w14:paraId="397AB352" w14:textId="1A82AF02" w:rsidR="00924031" w:rsidRPr="00832899" w:rsidRDefault="00924031" w:rsidP="00F90195">
            <w:pPr>
              <w:rPr>
                <w:rFonts w:ascii="Calibri Light" w:hAnsi="Calibri Light"/>
                <w:color w:val="000000"/>
                <w:sz w:val="21"/>
                <w:szCs w:val="21"/>
              </w:rPr>
            </w:pPr>
            <w:r w:rsidRPr="00924031">
              <w:rPr>
                <w:rFonts w:ascii="Calibri Light" w:hAnsi="Calibri Light" w:cs="Arial"/>
                <w:color w:val="000000"/>
                <w:sz w:val="21"/>
                <w:szCs w:val="21"/>
              </w:rPr>
              <w:t>In addition, you can read latest “Because You Reported: Patient Safety Net News” quarterly newsletter online. The new issue includes the most recent Safety Event Action Team (SEAT) Committee Event Report, describes a recent Blood Bank process improvement update and announces the Fall 2017 Clinical Safety &amp; Effectiveness projects. Download the newsletter at </w:t>
            </w:r>
            <w:hyperlink r:id="rId22" w:history="1">
              <w:r w:rsidRPr="00924031">
                <w:rPr>
                  <w:rStyle w:val="Hyperlink"/>
                  <w:rFonts w:ascii="Calibri Light" w:hAnsi="Calibri Light" w:cs="Arial"/>
                  <w:sz w:val="21"/>
                  <w:szCs w:val="21"/>
                </w:rPr>
                <w:t>https://utmb.us/29d</w:t>
              </w:r>
            </w:hyperlink>
            <w:r w:rsidRPr="00924031">
              <w:rPr>
                <w:rFonts w:ascii="Calibri Light" w:hAnsi="Calibri Light" w:cs="Arial"/>
                <w:color w:val="000000"/>
                <w:sz w:val="21"/>
                <w:szCs w:val="21"/>
              </w:rPr>
              <w:t>. Visit </w:t>
            </w:r>
            <w:hyperlink r:id="rId23" w:history="1">
              <w:r w:rsidRPr="00924031">
                <w:rPr>
                  <w:rStyle w:val="Hyperlink"/>
                  <w:rFonts w:ascii="Calibri Light" w:hAnsi="Calibri Light" w:cs="Arial"/>
                  <w:sz w:val="21"/>
                  <w:szCs w:val="21"/>
                </w:rPr>
                <w:t>https://intranet.utmb.edu/QHS/default.asp</w:t>
              </w:r>
            </w:hyperlink>
            <w:r w:rsidRPr="00924031">
              <w:rPr>
                <w:rFonts w:ascii="Calibri Light" w:hAnsi="Calibri Light" w:cs="Arial"/>
                <w:color w:val="000000"/>
                <w:sz w:val="21"/>
                <w:szCs w:val="21"/>
              </w:rPr>
              <w:t> for more on s</w:t>
            </w:r>
            <w:r w:rsidR="00832899">
              <w:rPr>
                <w:rFonts w:ascii="Calibri Light" w:hAnsi="Calibri Light" w:cs="Arial"/>
                <w:color w:val="000000"/>
                <w:sz w:val="21"/>
                <w:szCs w:val="21"/>
              </w:rPr>
              <w:t>afety event reporting at UTMB.</w:t>
            </w:r>
            <w:r w:rsidR="00C43D3D">
              <w:rPr>
                <w:rFonts w:ascii="Calibri Light" w:hAnsi="Calibri Light" w:cs="Arial"/>
                <w:color w:val="000000"/>
                <w:sz w:val="21"/>
                <w:szCs w:val="21"/>
              </w:rPr>
              <w:t>`</w:t>
            </w:r>
          </w:p>
        </w:tc>
        <w:tc>
          <w:tcPr>
            <w:tcW w:w="6143" w:type="dxa"/>
            <w:gridSpan w:val="2"/>
            <w:tcBorders>
              <w:left w:val="single" w:sz="4" w:space="0" w:color="auto"/>
              <w:right w:val="single" w:sz="8" w:space="0" w:color="auto"/>
            </w:tcBorders>
            <w:shd w:val="clear" w:color="auto" w:fill="FFFFFF" w:themeFill="background1"/>
          </w:tcPr>
          <w:p w14:paraId="139D4FDC" w14:textId="77777777" w:rsidR="00814D06" w:rsidRPr="003005B1" w:rsidRDefault="00814D06" w:rsidP="005D7C91">
            <w:pPr>
              <w:rPr>
                <w:rFonts w:ascii="Calibri" w:eastAsia="Times New Roman" w:hAnsi="Calibri"/>
              </w:rPr>
            </w:pPr>
          </w:p>
          <w:p w14:paraId="5411F32F" w14:textId="77777777" w:rsidR="003005B1" w:rsidRDefault="003005B1" w:rsidP="005D7C91">
            <w:pPr>
              <w:rPr>
                <w:rFonts w:ascii="Calibri" w:hAnsi="Calibri" w:cs="Arial"/>
                <w:b/>
                <w:bCs/>
                <w:color w:val="000000"/>
              </w:rPr>
            </w:pPr>
            <w:r w:rsidRPr="003005B1">
              <w:rPr>
                <w:rFonts w:ascii="Calibri" w:hAnsi="Calibri" w:cs="Arial"/>
                <w:b/>
                <w:bCs/>
                <w:color w:val="000000"/>
              </w:rPr>
              <w:t>Special guest to visit campus for Veterans Day celebration:</w:t>
            </w:r>
          </w:p>
          <w:p w14:paraId="5F0D7C7B" w14:textId="77777777" w:rsidR="003005B1" w:rsidRDefault="003005B1" w:rsidP="005D7C91">
            <w:pPr>
              <w:rPr>
                <w:rFonts w:ascii="Calibri Light" w:hAnsi="Calibri Light" w:cs="Arial"/>
                <w:b/>
                <w:bCs/>
                <w:color w:val="000000"/>
                <w:sz w:val="21"/>
                <w:szCs w:val="21"/>
              </w:rPr>
            </w:pPr>
            <w:proofErr w:type="spellStart"/>
            <w:r w:rsidRPr="003005B1">
              <w:rPr>
                <w:rFonts w:ascii="Calibri Light" w:hAnsi="Calibri Light" w:cs="Arial"/>
                <w:color w:val="000000"/>
                <w:sz w:val="21"/>
                <w:szCs w:val="21"/>
              </w:rPr>
              <w:t>Georgeann</w:t>
            </w:r>
            <w:proofErr w:type="spellEnd"/>
            <w:r w:rsidRPr="003005B1">
              <w:rPr>
                <w:rFonts w:ascii="Calibri Light" w:hAnsi="Calibri Light" w:cs="Arial"/>
                <w:color w:val="000000"/>
                <w:sz w:val="21"/>
                <w:szCs w:val="21"/>
              </w:rPr>
              <w:t xml:space="preserve"> </w:t>
            </w:r>
            <w:proofErr w:type="spellStart"/>
            <w:r w:rsidRPr="003005B1">
              <w:rPr>
                <w:rFonts w:ascii="Calibri Light" w:hAnsi="Calibri Light" w:cs="Arial"/>
                <w:color w:val="000000"/>
                <w:sz w:val="21"/>
                <w:szCs w:val="21"/>
              </w:rPr>
              <w:t>McRaven</w:t>
            </w:r>
            <w:proofErr w:type="spellEnd"/>
            <w:r w:rsidRPr="003005B1">
              <w:rPr>
                <w:rFonts w:ascii="Calibri Light" w:hAnsi="Calibri Light" w:cs="Arial"/>
                <w:color w:val="000000"/>
                <w:sz w:val="21"/>
                <w:szCs w:val="21"/>
              </w:rPr>
              <w:t xml:space="preserve">, nationally known advocate for military personnel, their families and veterans, will be the keynote speaker for the inaugural UTMB Veterans Day Luncheon on Nov. 2 in Levin Hall Dining Room. Mrs. </w:t>
            </w:r>
            <w:proofErr w:type="spellStart"/>
            <w:r w:rsidRPr="003005B1">
              <w:rPr>
                <w:rFonts w:ascii="Calibri Light" w:hAnsi="Calibri Light" w:cs="Arial"/>
                <w:color w:val="000000"/>
                <w:sz w:val="21"/>
                <w:szCs w:val="21"/>
              </w:rPr>
              <w:t>McRaven</w:t>
            </w:r>
            <w:proofErr w:type="spellEnd"/>
            <w:r w:rsidRPr="003005B1">
              <w:rPr>
                <w:rFonts w:ascii="Calibri Light" w:hAnsi="Calibri Light" w:cs="Arial"/>
                <w:color w:val="000000"/>
                <w:sz w:val="21"/>
                <w:szCs w:val="21"/>
              </w:rPr>
              <w:t xml:space="preserve"> is also the wife of UT System Chancellor and retired Admiral William </w:t>
            </w:r>
            <w:proofErr w:type="spellStart"/>
            <w:r w:rsidRPr="003005B1">
              <w:rPr>
                <w:rFonts w:ascii="Calibri Light" w:hAnsi="Calibri Light" w:cs="Arial"/>
                <w:color w:val="000000"/>
                <w:sz w:val="21"/>
                <w:szCs w:val="21"/>
              </w:rPr>
              <w:t>McRaven</w:t>
            </w:r>
            <w:proofErr w:type="spellEnd"/>
            <w:r w:rsidRPr="003005B1">
              <w:rPr>
                <w:rFonts w:ascii="Calibri Light" w:hAnsi="Calibri Light" w:cs="Arial"/>
                <w:color w:val="000000"/>
                <w:sz w:val="21"/>
                <w:szCs w:val="21"/>
              </w:rPr>
              <w:t>. She spent nearly four decades in the critical role of military spouse, and she’ll be sharing her perspectives on military life and service during her address to UTMB veterans, employees and leaders. The event has already filled, but the program will be recorded and made available to UTMB employees after the luncheon.</w:t>
            </w:r>
            <w:r w:rsidRPr="003005B1">
              <w:rPr>
                <w:rFonts w:ascii="Calibri Light" w:hAnsi="Calibri Light" w:cs="Arial"/>
                <w:b/>
                <w:bCs/>
                <w:color w:val="000000"/>
                <w:sz w:val="21"/>
                <w:szCs w:val="21"/>
              </w:rPr>
              <w:t> </w:t>
            </w:r>
          </w:p>
          <w:p w14:paraId="236D53ED" w14:textId="77777777" w:rsidR="003005B1" w:rsidRDefault="003005B1" w:rsidP="005D7C91">
            <w:pPr>
              <w:rPr>
                <w:rFonts w:ascii="Calibri Light" w:hAnsi="Calibri Light" w:cs="Arial"/>
                <w:b/>
                <w:bCs/>
                <w:color w:val="000000"/>
                <w:sz w:val="21"/>
                <w:szCs w:val="21"/>
              </w:rPr>
            </w:pPr>
          </w:p>
          <w:p w14:paraId="6824CF0E" w14:textId="77777777" w:rsidR="003005B1" w:rsidRDefault="003005B1" w:rsidP="005D7C91">
            <w:pPr>
              <w:rPr>
                <w:rFonts w:ascii="Calibri" w:hAnsi="Calibri" w:cs="Arial"/>
                <w:b/>
                <w:bCs/>
                <w:color w:val="000000"/>
              </w:rPr>
            </w:pPr>
            <w:r w:rsidRPr="00924031">
              <w:rPr>
                <w:rFonts w:ascii="Calibri" w:hAnsi="Calibri" w:cs="Arial"/>
                <w:b/>
                <w:bCs/>
                <w:color w:val="000000"/>
              </w:rPr>
              <w:t>Reminder—Town Hall on Nov. 1: </w:t>
            </w:r>
          </w:p>
          <w:p w14:paraId="18380013" w14:textId="71B28EE1" w:rsidR="00924031" w:rsidRPr="00832899" w:rsidRDefault="00924031" w:rsidP="00924031">
            <w:pPr>
              <w:rPr>
                <w:rFonts w:ascii="Calibri Light" w:hAnsi="Calibri Light" w:cs="Arial"/>
                <w:color w:val="000000"/>
                <w:sz w:val="21"/>
                <w:szCs w:val="21"/>
              </w:rPr>
            </w:pPr>
            <w:r w:rsidRPr="00924031">
              <w:rPr>
                <w:rFonts w:ascii="Calibri Light" w:hAnsi="Calibri Light" w:cs="Arial"/>
                <w:color w:val="000000"/>
                <w:sz w:val="21"/>
                <w:szCs w:val="21"/>
              </w:rPr>
              <w:t xml:space="preserve">Please plan to attend the next President’s Town Hall on Nov. 1 at noon in the Levin Hall Main Auditorium on the Galveston Campus. Dr. </w:t>
            </w:r>
            <w:proofErr w:type="spellStart"/>
            <w:r w:rsidRPr="00924031">
              <w:rPr>
                <w:rFonts w:ascii="Calibri Light" w:hAnsi="Calibri Light" w:cs="Arial"/>
                <w:color w:val="000000"/>
                <w:sz w:val="21"/>
                <w:szCs w:val="21"/>
              </w:rPr>
              <w:t>Callender</w:t>
            </w:r>
            <w:proofErr w:type="spellEnd"/>
            <w:r w:rsidRPr="00924031">
              <w:rPr>
                <w:rFonts w:ascii="Calibri Light" w:hAnsi="Calibri Light" w:cs="Arial"/>
                <w:color w:val="000000"/>
                <w:sz w:val="21"/>
                <w:szCs w:val="21"/>
              </w:rPr>
              <w:t xml:space="preserve"> will discuss a variety of topics including finances, construction, mission-area updates as well as what was learned from Hurricane Harvey. For more information and for remote-viewing options, please visit </w:t>
            </w:r>
            <w:hyperlink r:id="rId24" w:history="1">
              <w:r w:rsidRPr="00924031">
                <w:rPr>
                  <w:rStyle w:val="Hyperlink"/>
                  <w:rFonts w:ascii="Calibri Light" w:hAnsi="Calibri Light" w:cs="Arial"/>
                  <w:sz w:val="21"/>
                  <w:szCs w:val="21"/>
                </w:rPr>
                <w:t>https://www.utmb.edu/townhall/</w:t>
              </w:r>
            </w:hyperlink>
            <w:r w:rsidRPr="00924031">
              <w:rPr>
                <w:rFonts w:ascii="Calibri Light" w:hAnsi="Calibri Light" w:cs="Arial"/>
                <w:color w:val="000000"/>
                <w:sz w:val="21"/>
                <w:szCs w:val="21"/>
              </w:rPr>
              <w:t>.</w:t>
            </w:r>
          </w:p>
        </w:tc>
      </w:tr>
      <w:tr w:rsidR="001849C7" w14:paraId="09FE0D10" w14:textId="77777777" w:rsidTr="008C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0"/>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29F3D34D" w14:textId="3A8546EB" w:rsidR="001849C7" w:rsidRPr="008C4914" w:rsidRDefault="00925479" w:rsidP="00326BE4">
            <w:pPr>
              <w:rPr>
                <w:color w:val="000000"/>
              </w:rPr>
            </w:pPr>
            <w:r>
              <w:rPr>
                <w:rFonts w:asciiTheme="majorHAnsi" w:hAnsiTheme="majorHAnsi"/>
                <w:b/>
                <w:color w:val="FF0000"/>
                <w:sz w:val="28"/>
              </w:rPr>
              <w:t>DID YOU KNOW?</w:t>
            </w:r>
            <w:r>
              <w:br/>
            </w:r>
            <w:r w:rsidR="00B944C1" w:rsidRPr="008C4914">
              <w:rPr>
                <w:rFonts w:ascii="Calibri Light" w:hAnsi="Calibri Light"/>
                <w:sz w:val="21"/>
                <w:szCs w:val="21"/>
              </w:rPr>
              <w:t xml:space="preserve">Twenty-six UTMB faculty, staff and students recently received UTMB President’s Cabinet Awards for projects that promote outreach, education and improved patient care in the community and beyond. This year’s 11 funded projects total more than $243,000. The President’s Cabinet provides financial assistance that advances UTMB’s mission to improve health. The contributions of the Cabinet’s 380-plus members—comprising university friends, community and business leaders from the Houston-Galveston region—have provided more than $5 million in seed grants to more than 130 developing programs since </w:t>
            </w:r>
            <w:r w:rsidR="003005B1" w:rsidRPr="008C4914">
              <w:rPr>
                <w:rFonts w:ascii="Calibri Light" w:hAnsi="Calibri Light"/>
                <w:sz w:val="21"/>
                <w:szCs w:val="21"/>
              </w:rPr>
              <w:t>1993</w:t>
            </w:r>
            <w:r w:rsidR="00B944C1" w:rsidRPr="008C4914">
              <w:rPr>
                <w:rFonts w:ascii="Calibri Light" w:hAnsi="Calibri Light"/>
                <w:sz w:val="21"/>
                <w:szCs w:val="21"/>
              </w:rPr>
              <w:t>. To learn more about the President’s Cabinet, visit </w:t>
            </w:r>
            <w:hyperlink r:id="rId25" w:history="1">
              <w:r w:rsidR="00B944C1" w:rsidRPr="008C4914">
                <w:rPr>
                  <w:rStyle w:val="Hyperlink"/>
                  <w:rFonts w:ascii="Calibri Light" w:hAnsi="Calibri Light"/>
                  <w:sz w:val="21"/>
                  <w:szCs w:val="21"/>
                </w:rPr>
                <w:t>https://development.utmb.edu/cabinet-intro</w:t>
              </w:r>
            </w:hyperlink>
            <w:r w:rsidR="00B944C1" w:rsidRPr="008C4914">
              <w:rPr>
                <w:rFonts w:ascii="Calibri Light" w:hAnsi="Calibri Light"/>
                <w:sz w:val="21"/>
                <w:szCs w:val="21"/>
              </w:rPr>
              <w:t>. To see which projects received funding this year, read the article in the latest issue of Impact at </w:t>
            </w:r>
            <w:hyperlink r:id="rId26" w:history="1">
              <w:r w:rsidR="00B944C1" w:rsidRPr="008C4914">
                <w:rPr>
                  <w:rStyle w:val="Hyperlink"/>
                  <w:rFonts w:ascii="Calibri Light" w:hAnsi="Calibri Light"/>
                  <w:sz w:val="21"/>
                  <w:szCs w:val="21"/>
                </w:rPr>
                <w:t>https://utmb.us/29b</w:t>
              </w:r>
            </w:hyperlink>
            <w:r w:rsidR="00B944C1" w:rsidRPr="008C4914">
              <w:rPr>
                <w:rFonts w:ascii="Calibri Light" w:hAnsi="Calibri Light"/>
                <w:sz w:val="21"/>
                <w:szCs w:val="21"/>
              </w:rPr>
              <w:t>.</w:t>
            </w:r>
          </w:p>
        </w:tc>
      </w:tr>
    </w:tbl>
    <w:p w14:paraId="7247DB5A" w14:textId="5B37D8B4" w:rsidR="008F7AD8" w:rsidRPr="00DC69BA" w:rsidRDefault="008F7AD8" w:rsidP="00596875">
      <w:pPr>
        <w:rPr>
          <w:rFonts w:asciiTheme="majorHAnsi" w:hAnsiTheme="majorHAnsi"/>
          <w:sz w:val="20"/>
        </w:rPr>
      </w:pPr>
    </w:p>
    <w:p w14:paraId="2D384540" w14:textId="77777777" w:rsidR="008C4914" w:rsidRDefault="008C4914">
      <w:pPr>
        <w:rPr>
          <w:rFonts w:asciiTheme="minorHAnsi" w:hAnsiTheme="minorHAnsi" w:cstheme="minorBidi"/>
        </w:rPr>
      </w:pPr>
    </w:p>
    <w:sectPr w:rsidR="008C4914"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3CADD" w14:textId="77777777" w:rsidR="008707B6" w:rsidRDefault="008707B6" w:rsidP="00874B86">
      <w:r>
        <w:separator/>
      </w:r>
    </w:p>
  </w:endnote>
  <w:endnote w:type="continuationSeparator" w:id="0">
    <w:p w14:paraId="7BFA0D06" w14:textId="77777777" w:rsidR="008707B6" w:rsidRDefault="008707B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4BDA" w14:textId="77777777" w:rsidR="008707B6" w:rsidRDefault="008707B6" w:rsidP="00874B86">
      <w:r>
        <w:separator/>
      </w:r>
    </w:p>
  </w:footnote>
  <w:footnote w:type="continuationSeparator" w:id="0">
    <w:p w14:paraId="79A5ADA0" w14:textId="77777777" w:rsidR="008707B6" w:rsidRDefault="008707B6"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301F40">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E1D75"/>
    <w:multiLevelType w:val="hybridMultilevel"/>
    <w:tmpl w:val="86B67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1A3BC9"/>
    <w:multiLevelType w:val="multilevel"/>
    <w:tmpl w:val="96082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4F0D656E"/>
    <w:multiLevelType w:val="multilevel"/>
    <w:tmpl w:val="F744B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D872DE9"/>
    <w:multiLevelType w:val="multilevel"/>
    <w:tmpl w:val="17403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D08004B"/>
    <w:multiLevelType w:val="hybridMultilevel"/>
    <w:tmpl w:val="C53E4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2"/>
  </w:num>
  <w:num w:numId="4">
    <w:abstractNumId w:val="4"/>
  </w:num>
  <w:num w:numId="5">
    <w:abstractNumId w:val="1"/>
  </w:num>
  <w:num w:numId="6">
    <w:abstractNumId w:val="2"/>
  </w:num>
  <w:num w:numId="7">
    <w:abstractNumId w:val="11"/>
  </w:num>
  <w:num w:numId="8">
    <w:abstractNumId w:val="6"/>
  </w:num>
  <w:num w:numId="9">
    <w:abstractNumId w:val="0"/>
  </w:num>
  <w:num w:numId="10">
    <w:abstractNumId w:val="7"/>
  </w:num>
  <w:num w:numId="11">
    <w:abstractNumId w:val="8"/>
  </w:num>
  <w:num w:numId="12">
    <w:abstractNumId w:val="13"/>
  </w:num>
  <w:num w:numId="13">
    <w:abstractNumId w:val="10"/>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36F3C"/>
    <w:rsid w:val="00040E4F"/>
    <w:rsid w:val="000421C8"/>
    <w:rsid w:val="00046B32"/>
    <w:rsid w:val="00046FAF"/>
    <w:rsid w:val="00053CF5"/>
    <w:rsid w:val="00065D33"/>
    <w:rsid w:val="0007004E"/>
    <w:rsid w:val="0007289E"/>
    <w:rsid w:val="000761B1"/>
    <w:rsid w:val="0008142C"/>
    <w:rsid w:val="0008270F"/>
    <w:rsid w:val="00085BFB"/>
    <w:rsid w:val="00087000"/>
    <w:rsid w:val="00090498"/>
    <w:rsid w:val="00090A81"/>
    <w:rsid w:val="00093965"/>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005B1"/>
    <w:rsid w:val="00301F40"/>
    <w:rsid w:val="003136F1"/>
    <w:rsid w:val="00314842"/>
    <w:rsid w:val="00315952"/>
    <w:rsid w:val="00317E2B"/>
    <w:rsid w:val="00321AF8"/>
    <w:rsid w:val="003224F1"/>
    <w:rsid w:val="00324F34"/>
    <w:rsid w:val="00326BE4"/>
    <w:rsid w:val="0033116D"/>
    <w:rsid w:val="00331A4E"/>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1F2B"/>
    <w:rsid w:val="003B75F3"/>
    <w:rsid w:val="003C139A"/>
    <w:rsid w:val="003C153E"/>
    <w:rsid w:val="003C4E41"/>
    <w:rsid w:val="003C7C60"/>
    <w:rsid w:val="003D0B4E"/>
    <w:rsid w:val="003D338D"/>
    <w:rsid w:val="003D7706"/>
    <w:rsid w:val="003D7E2A"/>
    <w:rsid w:val="003E061E"/>
    <w:rsid w:val="003E3FC0"/>
    <w:rsid w:val="003E5BB0"/>
    <w:rsid w:val="003F0266"/>
    <w:rsid w:val="003F3914"/>
    <w:rsid w:val="003F3EE7"/>
    <w:rsid w:val="00406830"/>
    <w:rsid w:val="00415311"/>
    <w:rsid w:val="00420426"/>
    <w:rsid w:val="00423432"/>
    <w:rsid w:val="004236F0"/>
    <w:rsid w:val="004253A9"/>
    <w:rsid w:val="00427614"/>
    <w:rsid w:val="0042789B"/>
    <w:rsid w:val="00433851"/>
    <w:rsid w:val="004344E8"/>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912"/>
    <w:rsid w:val="004C3BE1"/>
    <w:rsid w:val="004C4313"/>
    <w:rsid w:val="004C7065"/>
    <w:rsid w:val="004D4424"/>
    <w:rsid w:val="004F5E00"/>
    <w:rsid w:val="004F74F1"/>
    <w:rsid w:val="004F7EC6"/>
    <w:rsid w:val="0050013D"/>
    <w:rsid w:val="00502D6C"/>
    <w:rsid w:val="0050368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63A"/>
    <w:rsid w:val="005D238F"/>
    <w:rsid w:val="005D27C3"/>
    <w:rsid w:val="005D7C91"/>
    <w:rsid w:val="005E1601"/>
    <w:rsid w:val="005E2DA1"/>
    <w:rsid w:val="005E5DD1"/>
    <w:rsid w:val="005E618F"/>
    <w:rsid w:val="005E7BE5"/>
    <w:rsid w:val="005F6B08"/>
    <w:rsid w:val="005F6DE6"/>
    <w:rsid w:val="0060605B"/>
    <w:rsid w:val="0060696E"/>
    <w:rsid w:val="00607FE9"/>
    <w:rsid w:val="00610861"/>
    <w:rsid w:val="00613206"/>
    <w:rsid w:val="00615E49"/>
    <w:rsid w:val="006221D7"/>
    <w:rsid w:val="00623744"/>
    <w:rsid w:val="00643B9C"/>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44B9"/>
    <w:rsid w:val="006B68AF"/>
    <w:rsid w:val="006D30D7"/>
    <w:rsid w:val="006E1D9C"/>
    <w:rsid w:val="006E6A62"/>
    <w:rsid w:val="006F28BD"/>
    <w:rsid w:val="006F5026"/>
    <w:rsid w:val="006F56B1"/>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324C"/>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899"/>
    <w:rsid w:val="0083344D"/>
    <w:rsid w:val="00833D36"/>
    <w:rsid w:val="00837050"/>
    <w:rsid w:val="00844A10"/>
    <w:rsid w:val="00845B26"/>
    <w:rsid w:val="00850C4A"/>
    <w:rsid w:val="008531B5"/>
    <w:rsid w:val="00856916"/>
    <w:rsid w:val="00866EB6"/>
    <w:rsid w:val="00867EEA"/>
    <w:rsid w:val="008707B6"/>
    <w:rsid w:val="00871049"/>
    <w:rsid w:val="008719B8"/>
    <w:rsid w:val="0087261D"/>
    <w:rsid w:val="00873A0F"/>
    <w:rsid w:val="00874B86"/>
    <w:rsid w:val="00877A5B"/>
    <w:rsid w:val="00883F08"/>
    <w:rsid w:val="00884A23"/>
    <w:rsid w:val="00885721"/>
    <w:rsid w:val="0089149D"/>
    <w:rsid w:val="00892C65"/>
    <w:rsid w:val="00895B31"/>
    <w:rsid w:val="00897939"/>
    <w:rsid w:val="008A23CB"/>
    <w:rsid w:val="008B019A"/>
    <w:rsid w:val="008B1118"/>
    <w:rsid w:val="008B1EE6"/>
    <w:rsid w:val="008B6179"/>
    <w:rsid w:val="008B6234"/>
    <w:rsid w:val="008B7918"/>
    <w:rsid w:val="008B79C3"/>
    <w:rsid w:val="008C17A5"/>
    <w:rsid w:val="008C4914"/>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4031"/>
    <w:rsid w:val="00925479"/>
    <w:rsid w:val="009271A3"/>
    <w:rsid w:val="0093016F"/>
    <w:rsid w:val="00930A16"/>
    <w:rsid w:val="00931124"/>
    <w:rsid w:val="00936B3A"/>
    <w:rsid w:val="00941A4B"/>
    <w:rsid w:val="0094473B"/>
    <w:rsid w:val="00944FCA"/>
    <w:rsid w:val="00945150"/>
    <w:rsid w:val="00947F85"/>
    <w:rsid w:val="009520C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C6717"/>
    <w:rsid w:val="009D2F90"/>
    <w:rsid w:val="009D36E9"/>
    <w:rsid w:val="009D55B1"/>
    <w:rsid w:val="009D7EFD"/>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944C1"/>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3D3D"/>
    <w:rsid w:val="00C46906"/>
    <w:rsid w:val="00C50B15"/>
    <w:rsid w:val="00C53DFD"/>
    <w:rsid w:val="00C545D1"/>
    <w:rsid w:val="00C60C5A"/>
    <w:rsid w:val="00C61C42"/>
    <w:rsid w:val="00C70AA9"/>
    <w:rsid w:val="00C7271C"/>
    <w:rsid w:val="00C74D16"/>
    <w:rsid w:val="00C77746"/>
    <w:rsid w:val="00C80144"/>
    <w:rsid w:val="00C8425F"/>
    <w:rsid w:val="00C91ADD"/>
    <w:rsid w:val="00C9451D"/>
    <w:rsid w:val="00C946A6"/>
    <w:rsid w:val="00C954D2"/>
    <w:rsid w:val="00CA08F1"/>
    <w:rsid w:val="00CA78A7"/>
    <w:rsid w:val="00CB2EB1"/>
    <w:rsid w:val="00CB3E9C"/>
    <w:rsid w:val="00CB52BA"/>
    <w:rsid w:val="00CB7A7D"/>
    <w:rsid w:val="00CC3714"/>
    <w:rsid w:val="00CC3E2F"/>
    <w:rsid w:val="00CC3E40"/>
    <w:rsid w:val="00CC6672"/>
    <w:rsid w:val="00CD1B15"/>
    <w:rsid w:val="00CD37C6"/>
    <w:rsid w:val="00CD7A13"/>
    <w:rsid w:val="00CD7D72"/>
    <w:rsid w:val="00CE352E"/>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4C4C"/>
    <w:rsid w:val="00D65042"/>
    <w:rsid w:val="00D67FAD"/>
    <w:rsid w:val="00D7039E"/>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D741B"/>
    <w:rsid w:val="00DE0391"/>
    <w:rsid w:val="00DE2079"/>
    <w:rsid w:val="00DE2631"/>
    <w:rsid w:val="00DF0D21"/>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31573"/>
    <w:rsid w:val="00F340EF"/>
    <w:rsid w:val="00F42BB0"/>
    <w:rsid w:val="00F42E58"/>
    <w:rsid w:val="00F43BDA"/>
    <w:rsid w:val="00F446B2"/>
    <w:rsid w:val="00F46838"/>
    <w:rsid w:val="00F46FF8"/>
    <w:rsid w:val="00F5234B"/>
    <w:rsid w:val="00F610ED"/>
    <w:rsid w:val="00F74874"/>
    <w:rsid w:val="00F75CAB"/>
    <w:rsid w:val="00F80E1B"/>
    <w:rsid w:val="00F8146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C91"/>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2844339">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237645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42898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94990198">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77121578">
      <w:bodyDiv w:val="1"/>
      <w:marLeft w:val="0"/>
      <w:marRight w:val="0"/>
      <w:marTop w:val="0"/>
      <w:marBottom w:val="0"/>
      <w:divBdr>
        <w:top w:val="none" w:sz="0" w:space="0" w:color="auto"/>
        <w:left w:val="none" w:sz="0" w:space="0" w:color="auto"/>
        <w:bottom w:val="none" w:sz="0" w:space="0" w:color="auto"/>
        <w:right w:val="none" w:sz="0" w:space="0" w:color="auto"/>
      </w:divBdr>
    </w:div>
    <w:div w:id="1406412772">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1959015">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500987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567164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ebizhr.utmb.edu/psp/ps/EMPLOYEE/HRMS/s/WEBLIB_PTPP_SC.HOMEPAGE.FieldFormula.IScript_AppHP?pt_fname=CO_EMPLOYEE_SELF_SERVICE&amp;FolderPath=PORTAL_ROOT_OBJECT.CO_EMPLOYEE_SELF_SERVICE&amp;IsFolder=true" TargetMode="External"/><Relationship Id="rId18" Type="http://schemas.openxmlformats.org/officeDocument/2006/relationships/image" Target="media/image5.png"/><Relationship Id="rId26" Type="http://schemas.openxmlformats.org/officeDocument/2006/relationships/hyperlink" Target="https://utmb.us/29b" TargetMode="External"/><Relationship Id="rId3" Type="http://schemas.openxmlformats.org/officeDocument/2006/relationships/styles" Target="styles.xml"/><Relationship Id="rId21" Type="http://schemas.openxmlformats.org/officeDocument/2006/relationships/hyperlink" Target="https://intranet.utmb.edu/QHS/TheJointCommission/Spotlights.asp"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s://development.utmb.edu/cabinet-intro" TargetMode="External"/><Relationship Id="rId2" Type="http://schemas.openxmlformats.org/officeDocument/2006/relationships/numbering" Target="numbering.xml"/><Relationship Id="rId16" Type="http://schemas.openxmlformats.org/officeDocument/2006/relationships/hyperlink" Target="http://www.myutflex.com/"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townhall/" TargetMode="External"/><Relationship Id="rId5" Type="http://schemas.openxmlformats.org/officeDocument/2006/relationships/webSettings" Target="webSettings.xml"/><Relationship Id="rId15" Type="http://schemas.openxmlformats.org/officeDocument/2006/relationships/hyperlink" Target="http://www.utmb.edu/secc" TargetMode="External"/><Relationship Id="rId23" Type="http://schemas.openxmlformats.org/officeDocument/2006/relationships/hyperlink" Target="https://intranet.utmb.edu/QHS/default.asp"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hr.utmb.edu/hrbbc/benefits/total_rewards/" TargetMode="External"/><Relationship Id="rId22" Type="http://schemas.openxmlformats.org/officeDocument/2006/relationships/hyperlink" Target="https://utmb.us/29d"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7437-A852-402A-B338-026D1BF8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2017-10-26T16:24:00Z</cp:lastPrinted>
  <dcterms:created xsi:type="dcterms:W3CDTF">2017-10-31T21:45:00Z</dcterms:created>
  <dcterms:modified xsi:type="dcterms:W3CDTF">2017-10-31T21:45:00Z</dcterms:modified>
</cp:coreProperties>
</file>