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9669D4"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9669D4"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9C1679B" w:rsidR="009C2829" w:rsidRPr="000257FB" w:rsidRDefault="00CF61BE" w:rsidP="007073E8">
            <w:pPr>
              <w:pStyle w:val="Header"/>
              <w:jc w:val="center"/>
              <w:rPr>
                <w:rFonts w:asciiTheme="majorHAnsi" w:hAnsiTheme="majorHAnsi"/>
                <w:b/>
              </w:rPr>
            </w:pPr>
            <w:r>
              <w:rPr>
                <w:rFonts w:asciiTheme="majorHAnsi" w:hAnsiTheme="majorHAnsi"/>
                <w:b/>
                <w:sz w:val="22"/>
              </w:rPr>
              <w:t>Jan. 18</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56B86918" w:rsidR="00936B3A" w:rsidRDefault="00936B3A" w:rsidP="003F0266">
            <w:pPr>
              <w:rPr>
                <w:rFonts w:ascii="Calibri Light" w:hAnsi="Calibri Light"/>
                <w:noProof/>
                <w:sz w:val="20"/>
              </w:rPr>
            </w:pPr>
          </w:p>
          <w:p w14:paraId="050CCA45" w14:textId="77777777" w:rsidR="00936B3A" w:rsidRDefault="009669D4" w:rsidP="008B6179">
            <w:pPr>
              <w:rPr>
                <w:rFonts w:ascii="Calibri Light" w:hAnsi="Calibri Light"/>
                <w:b/>
                <w:noProof/>
                <w:sz w:val="20"/>
              </w:rPr>
            </w:pPr>
            <w:r>
              <w:rPr>
                <w:rFonts w:ascii="Calibri Light" w:hAnsi="Calibri Light"/>
                <w:b/>
                <w:noProof/>
                <w:sz w:val="20"/>
              </w:rPr>
              <w:t>OSAA</w:t>
            </w:r>
          </w:p>
          <w:p w14:paraId="16916FB3" w14:textId="77777777" w:rsidR="009669D4" w:rsidRPr="009669D4" w:rsidRDefault="009669D4" w:rsidP="009669D4">
            <w:pPr>
              <w:rPr>
                <w:rFonts w:ascii="Calibri Light" w:hAnsi="Calibri Light"/>
                <w:noProof/>
                <w:sz w:val="20"/>
              </w:rPr>
            </w:pPr>
            <w:r w:rsidRPr="009669D4">
              <w:rPr>
                <w:rFonts w:ascii="Calibri Light" w:hAnsi="Calibri Light"/>
                <w:noProof/>
                <w:sz w:val="20"/>
              </w:rPr>
              <w:t xml:space="preserve">Congratulations to Dr. Norma Pérez. She is the recipient of the Freeman Endowment Fund for the Development of Minority Faculty 2018. This endowment is intended to provide support to faculty, programs and projects that advance The University of Texas Medical Branch’s core value of diversity and its institutional efforts to increase and support the development of minority faculty of underrepresented ethnic groups. Its aim is to help create and encourage a racially diverse work force in medical research. </w:t>
            </w:r>
          </w:p>
          <w:p w14:paraId="60A911B3" w14:textId="77777777" w:rsidR="009669D4" w:rsidRDefault="009669D4" w:rsidP="008B6179">
            <w:pPr>
              <w:rPr>
                <w:rFonts w:ascii="Calibri Light" w:hAnsi="Calibri Light"/>
                <w:noProof/>
                <w:sz w:val="20"/>
              </w:rPr>
            </w:pPr>
          </w:p>
          <w:p w14:paraId="421C6804" w14:textId="77777777" w:rsidR="009669D4" w:rsidRPr="009669D4" w:rsidRDefault="009669D4" w:rsidP="009669D4">
            <w:pPr>
              <w:rPr>
                <w:rFonts w:ascii="Calibri Light" w:hAnsi="Calibri Light"/>
                <w:noProof/>
                <w:sz w:val="20"/>
              </w:rPr>
            </w:pPr>
            <w:r w:rsidRPr="009669D4">
              <w:rPr>
                <w:rFonts w:ascii="Calibri Light" w:hAnsi="Calibri Light"/>
                <w:b/>
                <w:bCs/>
                <w:noProof/>
                <w:sz w:val="20"/>
              </w:rPr>
              <w:t>A Step 1 Mentor</w:t>
            </w:r>
            <w:r w:rsidRPr="009669D4">
              <w:rPr>
                <w:rFonts w:ascii="Calibri Light" w:hAnsi="Calibri Light"/>
                <w:noProof/>
                <w:sz w:val="20"/>
              </w:rPr>
              <w:t xml:space="preserve"> training workshop was conducted by the Office of Academic Support and Career Counseling Monday, January 22, 2018. Presenters included Dr. Sofia Cano, Dr. Tara Tuchaai, Debra Liedy, and Shirley Pullen.</w:t>
            </w:r>
          </w:p>
          <w:p w14:paraId="56CF26E9" w14:textId="77777777" w:rsidR="009669D4" w:rsidRPr="009669D4" w:rsidRDefault="009669D4" w:rsidP="009669D4">
            <w:pPr>
              <w:rPr>
                <w:rFonts w:ascii="Calibri Light" w:hAnsi="Calibri Light"/>
                <w:noProof/>
                <w:sz w:val="20"/>
              </w:rPr>
            </w:pPr>
            <w:r w:rsidRPr="009669D4">
              <w:rPr>
                <w:rFonts w:ascii="Calibri Light" w:hAnsi="Calibri Light"/>
                <w:noProof/>
                <w:sz w:val="20"/>
              </w:rPr>
              <w:t>This year there are 22 Step 1 Mentors who will hold weekly prep sessions for USMLE Step 1 for MS2 students and the SeaChange cohort. The Step 1 Mentors are MS3 and MS4 students selected for their outstanding academic achievements, performance on Step 1, and previous participation as UTMB course tutors.</w:t>
            </w:r>
          </w:p>
          <w:p w14:paraId="6414A118" w14:textId="77777777" w:rsidR="009669D4" w:rsidRPr="009669D4" w:rsidRDefault="009669D4" w:rsidP="009669D4">
            <w:pPr>
              <w:rPr>
                <w:rFonts w:ascii="Calibri Light" w:hAnsi="Calibri Light"/>
                <w:noProof/>
                <w:sz w:val="20"/>
              </w:rPr>
            </w:pPr>
          </w:p>
          <w:p w14:paraId="0674F781" w14:textId="77777777" w:rsidR="009669D4" w:rsidRPr="009669D4" w:rsidRDefault="009669D4" w:rsidP="009669D4">
            <w:pPr>
              <w:rPr>
                <w:rFonts w:ascii="Calibri Light" w:hAnsi="Calibri Light"/>
                <w:noProof/>
                <w:sz w:val="20"/>
              </w:rPr>
            </w:pPr>
            <w:r w:rsidRPr="009669D4">
              <w:rPr>
                <w:rFonts w:ascii="Calibri Light" w:hAnsi="Calibri Light"/>
                <w:b/>
                <w:bCs/>
                <w:noProof/>
                <w:sz w:val="20"/>
              </w:rPr>
              <w:t>The Step 1 Kickoff</w:t>
            </w:r>
            <w:r w:rsidRPr="009669D4">
              <w:rPr>
                <w:rFonts w:ascii="Calibri Light" w:hAnsi="Calibri Light"/>
                <w:noProof/>
                <w:sz w:val="20"/>
              </w:rPr>
              <w:t xml:space="preserve"> meeting for the Class of 2020 will be held Wednesday, January 24, 2018, in Levin Hall South Auditorium. The Step 1 Kickoff is part of a multi-component program provided by Academic Support and Career Counseling to support students’ success on USMLE Step 1.</w:t>
            </w:r>
          </w:p>
          <w:p w14:paraId="5047C4E9" w14:textId="77777777" w:rsidR="009669D4" w:rsidRPr="009669D4" w:rsidRDefault="009669D4" w:rsidP="009669D4">
            <w:pPr>
              <w:rPr>
                <w:rFonts w:ascii="Calibri Light" w:hAnsi="Calibri Light"/>
                <w:noProof/>
                <w:sz w:val="20"/>
              </w:rPr>
            </w:pPr>
            <w:r w:rsidRPr="009669D4">
              <w:rPr>
                <w:rFonts w:ascii="Calibri Light" w:hAnsi="Calibri Light"/>
                <w:noProof/>
                <w:sz w:val="20"/>
              </w:rPr>
              <w:t>Dr. Sofia Cano will present and facilitate the overall program. Dr. Tara Tuchaai will discuss the Step 1 Mentor program and introduce the Step 1 Mentors, Dr. Julie McKee will explain UTMB policies regarding testing deadline, requests for extended study time, and the difference between a Leave of Absence and an Academic Reassignment.</w:t>
            </w:r>
          </w:p>
          <w:p w14:paraId="62ED5B37" w14:textId="77777777" w:rsidR="009669D4" w:rsidRPr="009669D4" w:rsidRDefault="009669D4" w:rsidP="008B6179">
            <w:pPr>
              <w:rPr>
                <w:rFonts w:ascii="Calibri Light" w:hAnsi="Calibri Light"/>
                <w:noProof/>
                <w:sz w:val="20"/>
              </w:rPr>
            </w:pPr>
            <w:bookmarkStart w:id="0" w:name="_GoBack"/>
            <w:bookmarkEnd w:id="0"/>
          </w:p>
        </w:tc>
        <w:tc>
          <w:tcPr>
            <w:tcW w:w="6120" w:type="dxa"/>
            <w:gridSpan w:val="2"/>
          </w:tcPr>
          <w:p w14:paraId="2D0842AB" w14:textId="47AC0753" w:rsidR="00374337" w:rsidRDefault="00374337" w:rsidP="00374337">
            <w:pPr>
              <w:rPr>
                <w:rFonts w:ascii="Calibri Light" w:eastAsia="Times New Roman" w:hAnsi="Calibri Light"/>
                <w:sz w:val="21"/>
                <w:szCs w:val="21"/>
              </w:rPr>
            </w:pPr>
          </w:p>
          <w:p w14:paraId="28E1149D" w14:textId="43E3CF7F" w:rsidR="00CF61BE" w:rsidRDefault="00CF61BE" w:rsidP="00CF61BE">
            <w:pPr>
              <w:rPr>
                <w:rFonts w:ascii="Calibri Light" w:hAnsi="Calibri Light" w:cs="Arial"/>
                <w:bCs/>
                <w:color w:val="000000"/>
                <w:sz w:val="20"/>
                <w:szCs w:val="20"/>
              </w:rPr>
            </w:pPr>
            <w:r>
              <w:rPr>
                <w:rFonts w:asciiTheme="majorHAnsi" w:hAnsiTheme="majorHAnsi"/>
                <w:b/>
              </w:rPr>
              <w:t>Monthly financial update—December:</w:t>
            </w:r>
            <w:r>
              <w:rPr>
                <w:rFonts w:ascii="Calibri Light" w:hAnsi="Calibri Light" w:cs="Arial"/>
                <w:bCs/>
                <w:color w:val="000000"/>
                <w:sz w:val="20"/>
                <w:szCs w:val="20"/>
              </w:rPr>
              <w:t xml:space="preserve"> </w:t>
            </w:r>
          </w:p>
          <w:p w14:paraId="42CE84FF" w14:textId="77777777" w:rsidR="00321D1D" w:rsidRPr="00321D1D" w:rsidRDefault="00DF5413" w:rsidP="00321D1D">
            <w:pPr>
              <w:pStyle w:val="ListParagraph"/>
              <w:numPr>
                <w:ilvl w:val="0"/>
                <w:numId w:val="40"/>
              </w:numPr>
              <w:rPr>
                <w:rFonts w:ascii="Calibri Light" w:hAnsi="Calibri Light"/>
                <w:sz w:val="21"/>
                <w:szCs w:val="21"/>
              </w:rPr>
            </w:pPr>
            <w:r w:rsidRPr="00321D1D">
              <w:rPr>
                <w:rFonts w:ascii="Calibri Light" w:hAnsi="Calibri Light"/>
                <w:sz w:val="21"/>
                <w:szCs w:val="21"/>
              </w:rPr>
              <w:t>Adjusted margin (bottom line) was a loss of $3.5 million.</w:t>
            </w:r>
          </w:p>
          <w:p w14:paraId="2C7354B4" w14:textId="77777777" w:rsidR="00832668" w:rsidRDefault="00DF5413" w:rsidP="00832668">
            <w:pPr>
              <w:pStyle w:val="ListParagraph"/>
              <w:numPr>
                <w:ilvl w:val="0"/>
                <w:numId w:val="40"/>
              </w:numPr>
              <w:rPr>
                <w:rFonts w:ascii="Calibri Light" w:hAnsi="Calibri Light"/>
                <w:sz w:val="21"/>
                <w:szCs w:val="21"/>
              </w:rPr>
            </w:pPr>
            <w:r w:rsidRPr="00321D1D">
              <w:rPr>
                <w:rFonts w:ascii="Calibri Light" w:hAnsi="Calibri Light"/>
                <w:sz w:val="21"/>
                <w:szCs w:val="21"/>
              </w:rPr>
              <w:t>The planned adjusted margin was a loss of $4.9 million; therefore, we were favorable to budget by $1.4 million.</w:t>
            </w:r>
          </w:p>
          <w:p w14:paraId="4907DADC" w14:textId="77777777" w:rsidR="00832668" w:rsidRPr="00832668" w:rsidRDefault="00832668" w:rsidP="00832668">
            <w:pPr>
              <w:pStyle w:val="ListParagraph"/>
              <w:numPr>
                <w:ilvl w:val="0"/>
                <w:numId w:val="40"/>
              </w:numPr>
              <w:rPr>
                <w:rFonts w:ascii="Calibri Light" w:hAnsi="Calibri Light"/>
                <w:sz w:val="21"/>
                <w:szCs w:val="21"/>
              </w:rPr>
            </w:pPr>
            <w:r w:rsidRPr="00832668">
              <w:rPr>
                <w:rFonts w:ascii="Calibri Light" w:eastAsia="Times New Roman" w:hAnsi="Calibri Light"/>
                <w:color w:val="000000"/>
                <w:sz w:val="21"/>
                <w:szCs w:val="21"/>
                <w:shd w:val="clear" w:color="auto" w:fill="FFFFFF"/>
              </w:rPr>
              <w:t>Patient care continues to be lower than expected, but our expenses are better than expected.</w:t>
            </w:r>
          </w:p>
          <w:p w14:paraId="6575BCA3" w14:textId="5AFF02D3" w:rsidR="008D5C96" w:rsidRPr="008D5C96" w:rsidRDefault="008D5C96" w:rsidP="008D5C96">
            <w:pPr>
              <w:pStyle w:val="ListParagraph"/>
              <w:numPr>
                <w:ilvl w:val="0"/>
                <w:numId w:val="40"/>
              </w:numPr>
              <w:rPr>
                <w:rFonts w:ascii="Calibri Light" w:eastAsia="Times New Roman" w:hAnsi="Calibri Light" w:cs="Times New Roman"/>
                <w:sz w:val="21"/>
                <w:szCs w:val="21"/>
              </w:rPr>
            </w:pPr>
            <w:r w:rsidRPr="008D5C96">
              <w:rPr>
                <w:rFonts w:ascii="Calibri Light" w:eastAsia="Times New Roman" w:hAnsi="Calibri Light"/>
                <w:color w:val="000000"/>
                <w:sz w:val="21"/>
                <w:szCs w:val="21"/>
              </w:rPr>
              <w:t>Although the month of December was favorable to budget, we are behind where we planned to be for the fiscal year-to-date</w:t>
            </w:r>
            <w:r w:rsidR="00D15FEE">
              <w:rPr>
                <w:rFonts w:ascii="Calibri Light" w:eastAsia="Times New Roman" w:hAnsi="Calibri Light"/>
                <w:color w:val="000000"/>
                <w:sz w:val="21"/>
                <w:szCs w:val="21"/>
              </w:rPr>
              <w:t xml:space="preserve"> adjusted margin</w:t>
            </w:r>
            <w:r w:rsidRPr="008D5C96">
              <w:rPr>
                <w:rFonts w:ascii="Calibri Light" w:eastAsia="Times New Roman" w:hAnsi="Calibri Light"/>
                <w:color w:val="000000"/>
                <w:sz w:val="21"/>
                <w:szCs w:val="21"/>
              </w:rPr>
              <w:t xml:space="preserve">. Please continue to monitor expenses that are not critical to achieving our mission objectives in order to help ensure that we move back toward our budgeted adjusted margin. (Note: Dr. </w:t>
            </w:r>
            <w:proofErr w:type="spellStart"/>
            <w:r w:rsidRPr="008D5C96">
              <w:rPr>
                <w:rFonts w:ascii="Calibri Light" w:eastAsia="Times New Roman" w:hAnsi="Calibri Light"/>
                <w:color w:val="000000"/>
                <w:sz w:val="21"/>
                <w:szCs w:val="21"/>
              </w:rPr>
              <w:t>Callender</w:t>
            </w:r>
            <w:proofErr w:type="spellEnd"/>
            <w:r w:rsidRPr="008D5C96">
              <w:rPr>
                <w:rFonts w:ascii="Calibri Light" w:eastAsia="Times New Roman" w:hAnsi="Calibri Light"/>
                <w:color w:val="000000"/>
                <w:sz w:val="21"/>
                <w:szCs w:val="21"/>
              </w:rPr>
              <w:t xml:space="preserve"> will be providing a more detailed financial update at the Jan. 24 Town Hall.)</w:t>
            </w:r>
          </w:p>
          <w:p w14:paraId="084D664A" w14:textId="70D2A196" w:rsidR="00832668" w:rsidRPr="00832668" w:rsidRDefault="008D5C96" w:rsidP="008D5C96">
            <w:pPr>
              <w:pStyle w:val="ListParagraph"/>
              <w:rPr>
                <w:rFonts w:ascii="Calibri Light" w:hAnsi="Calibri Light"/>
                <w:sz w:val="21"/>
                <w:szCs w:val="21"/>
              </w:rPr>
            </w:pPr>
            <w:r w:rsidRPr="00832668">
              <w:rPr>
                <w:rFonts w:ascii="Calibri Light" w:hAnsi="Calibri Light"/>
                <w:sz w:val="21"/>
                <w:szCs w:val="21"/>
              </w:rPr>
              <w:t xml:space="preserve"> </w:t>
            </w:r>
          </w:p>
          <w:p w14:paraId="6165647E" w14:textId="263D130B" w:rsidR="00CF61BE" w:rsidRPr="005D163A" w:rsidRDefault="00CF61BE" w:rsidP="00CF61BE">
            <w:pPr>
              <w:rPr>
                <w:rFonts w:asciiTheme="majorHAnsi" w:eastAsia="Times New Roman" w:hAnsiTheme="majorHAnsi" w:cs="Arial"/>
                <w:b/>
                <w:color w:val="000000" w:themeColor="text1"/>
                <w:szCs w:val="20"/>
              </w:rPr>
            </w:pPr>
            <w:r>
              <w:rPr>
                <w:rFonts w:asciiTheme="majorHAnsi" w:eastAsia="Times New Roman" w:hAnsiTheme="majorHAnsi" w:cs="Arial"/>
                <w:b/>
                <w:noProof/>
                <w:color w:val="FF0000"/>
                <w:szCs w:val="20"/>
              </w:rPr>
              <w:drawing>
                <wp:inline distT="0" distB="0" distL="0" distR="0" wp14:anchorId="1E9720C6" wp14:editId="26D10BD8">
                  <wp:extent cx="143209" cy="13819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eastAsia="Times New Roman" w:hAnsiTheme="majorHAnsi" w:cs="Arial"/>
                <w:b/>
                <w:color w:val="FF0000"/>
                <w:szCs w:val="20"/>
              </w:rPr>
              <w:t xml:space="preserve"> </w:t>
            </w:r>
            <w:r w:rsidRPr="009E0224">
              <w:rPr>
                <w:rFonts w:asciiTheme="majorHAnsi" w:eastAsia="Times New Roman" w:hAnsiTheme="majorHAnsi" w:cs="Arial"/>
                <w:b/>
                <w:color w:val="FF0000"/>
                <w:szCs w:val="20"/>
              </w:rPr>
              <w:t>ACTION ITEM</w:t>
            </w:r>
            <w:r>
              <w:rPr>
                <w:rFonts w:asciiTheme="majorHAnsi" w:eastAsia="Times New Roman" w:hAnsiTheme="majorHAnsi" w:cs="Arial"/>
                <w:b/>
                <w:color w:val="FF0000"/>
                <w:szCs w:val="20"/>
              </w:rPr>
              <w:t>—</w:t>
            </w:r>
            <w:r>
              <w:rPr>
                <w:rFonts w:asciiTheme="majorHAnsi" w:eastAsia="Times New Roman" w:hAnsiTheme="majorHAnsi" w:cs="Arial"/>
                <w:b/>
                <w:color w:val="000000" w:themeColor="text1"/>
                <w:szCs w:val="20"/>
              </w:rPr>
              <w:t>2017 Tax Forms:</w:t>
            </w:r>
          </w:p>
          <w:p w14:paraId="5C980055" w14:textId="0379771D" w:rsidR="00CF61BE" w:rsidRPr="00CF61BE" w:rsidRDefault="00CF61BE" w:rsidP="00CF61BE">
            <w:pPr>
              <w:numPr>
                <w:ilvl w:val="0"/>
                <w:numId w:val="35"/>
              </w:numPr>
              <w:rPr>
                <w:rFonts w:ascii="Calibri Light" w:eastAsia="Times New Roman" w:hAnsi="Calibri Light"/>
                <w:color w:val="000000"/>
                <w:sz w:val="21"/>
                <w:szCs w:val="21"/>
              </w:rPr>
            </w:pPr>
            <w:r w:rsidRPr="00CF61BE">
              <w:rPr>
                <w:rFonts w:ascii="Calibri" w:eastAsia="Times New Roman" w:hAnsi="Calibri" w:cs="Arial"/>
                <w:b/>
                <w:bCs/>
                <w:color w:val="000000"/>
                <w:sz w:val="21"/>
                <w:szCs w:val="21"/>
              </w:rPr>
              <w:t>W-2 Tax Form: </w:t>
            </w:r>
            <w:r w:rsidRPr="00CF61BE">
              <w:rPr>
                <w:rFonts w:ascii="Calibri Light" w:eastAsia="Times New Roman" w:hAnsi="Calibri Light" w:cs="Arial"/>
                <w:color w:val="000000"/>
                <w:sz w:val="21"/>
                <w:szCs w:val="21"/>
              </w:rPr>
              <w:t>Employees who consented to receive an electronic copy of their W-2 tax form for 2017 will be able to view and print the form through </w:t>
            </w:r>
            <w:hyperlink r:id="rId14" w:history="1">
              <w:r w:rsidRPr="00CF61BE">
                <w:rPr>
                  <w:rStyle w:val="Hyperlink"/>
                  <w:rFonts w:ascii="Calibri Light" w:eastAsia="Times New Roman" w:hAnsi="Calibri Light" w:cs="Arial"/>
                  <w:color w:val="954F72"/>
                  <w:sz w:val="21"/>
                  <w:szCs w:val="21"/>
                </w:rPr>
                <w:t>Employee Self Service</w:t>
              </w:r>
            </w:hyperlink>
            <w:r w:rsidRPr="00CF61BE">
              <w:rPr>
                <w:rFonts w:ascii="Calibri Light" w:eastAsia="Times New Roman" w:hAnsi="Calibri Light" w:cs="Arial"/>
                <w:color w:val="000000"/>
                <w:sz w:val="21"/>
                <w:szCs w:val="21"/>
              </w:rPr>
              <w:t> starting Jan. 26. The form is located under the Payroll and Compensation section, and you must be directly connected to a UTMB network</w:t>
            </w:r>
            <w:r>
              <w:rPr>
                <w:rFonts w:ascii="Calibri Light" w:eastAsia="Times New Roman" w:hAnsi="Calibri Light" w:cs="Arial"/>
                <w:color w:val="000000"/>
                <w:sz w:val="21"/>
                <w:szCs w:val="21"/>
              </w:rPr>
              <w:t xml:space="preserve"> via work-site connection or VPN</w:t>
            </w:r>
            <w:r w:rsidRPr="00CF61BE">
              <w:rPr>
                <w:rFonts w:ascii="Calibri Light" w:eastAsia="Times New Roman" w:hAnsi="Calibri Light" w:cs="Arial"/>
                <w:color w:val="000000"/>
                <w:sz w:val="21"/>
                <w:szCs w:val="21"/>
              </w:rPr>
              <w:t xml:space="preserve"> to access the document. Any employee who did not sign up for digital delivery of the form will receive a paper copy through the U.S. mail. For questions or more information about the W-2 tax form, email </w:t>
            </w:r>
            <w:hyperlink r:id="rId15" w:history="1">
              <w:r w:rsidRPr="00CF61BE">
                <w:rPr>
                  <w:rStyle w:val="Hyperlink"/>
                  <w:rFonts w:ascii="Calibri Light" w:eastAsia="Times New Roman" w:hAnsi="Calibri Light" w:cs="Arial"/>
                  <w:color w:val="954F72"/>
                  <w:sz w:val="21"/>
                  <w:szCs w:val="21"/>
                </w:rPr>
                <w:t>payroll.services@utmb.edu</w:t>
              </w:r>
            </w:hyperlink>
            <w:r w:rsidRPr="00CF61BE">
              <w:rPr>
                <w:rFonts w:ascii="Calibri Light" w:eastAsia="Times New Roman" w:hAnsi="Calibri Light" w:cs="Arial"/>
                <w:color w:val="000000"/>
                <w:sz w:val="21"/>
                <w:szCs w:val="21"/>
              </w:rPr>
              <w:t>.</w:t>
            </w:r>
          </w:p>
          <w:p w14:paraId="52A47ED7" w14:textId="77777777" w:rsidR="00CF61BE" w:rsidRPr="00CF61BE" w:rsidRDefault="00CF61BE" w:rsidP="00CF61BE">
            <w:pPr>
              <w:ind w:left="720"/>
              <w:rPr>
                <w:rFonts w:ascii="Calibri Light" w:eastAsia="Times New Roman" w:hAnsi="Calibri Light"/>
                <w:color w:val="000000"/>
                <w:sz w:val="21"/>
                <w:szCs w:val="21"/>
              </w:rPr>
            </w:pPr>
          </w:p>
          <w:p w14:paraId="4E519452" w14:textId="77777777" w:rsidR="00CF61BE" w:rsidRPr="00CF61BE" w:rsidRDefault="00CF61BE" w:rsidP="00CF61BE">
            <w:pPr>
              <w:numPr>
                <w:ilvl w:val="0"/>
                <w:numId w:val="35"/>
              </w:numPr>
              <w:rPr>
                <w:rFonts w:ascii="Calibri Light" w:eastAsia="Times New Roman" w:hAnsi="Calibri Light"/>
                <w:color w:val="000000"/>
                <w:sz w:val="21"/>
                <w:szCs w:val="21"/>
              </w:rPr>
            </w:pPr>
            <w:r w:rsidRPr="00CF61BE">
              <w:rPr>
                <w:rFonts w:ascii="Calibri" w:eastAsia="Times New Roman" w:hAnsi="Calibri" w:cs="Arial"/>
                <w:b/>
                <w:bCs/>
                <w:color w:val="000000"/>
                <w:sz w:val="21"/>
                <w:szCs w:val="21"/>
              </w:rPr>
              <w:t>1095-C Tax Form: </w:t>
            </w:r>
            <w:r w:rsidRPr="00CF61BE">
              <w:rPr>
                <w:rFonts w:ascii="Calibri Light" w:eastAsia="Times New Roman" w:hAnsi="Calibri Light" w:cs="Arial"/>
                <w:color w:val="000000"/>
                <w:sz w:val="21"/>
                <w:szCs w:val="21"/>
              </w:rPr>
              <w:t>Employees who signed up to receive an electronic copy of their 1095-C tax form for 2017 will be able to download and print the form at </w:t>
            </w:r>
            <w:hyperlink r:id="rId16" w:history="1">
              <w:r w:rsidRPr="00CF61BE">
                <w:rPr>
                  <w:rStyle w:val="Hyperlink"/>
                  <w:rFonts w:ascii="Calibri Light" w:eastAsia="Times New Roman" w:hAnsi="Calibri Light" w:cs="Arial"/>
                  <w:color w:val="954F72"/>
                  <w:sz w:val="21"/>
                  <w:szCs w:val="21"/>
                </w:rPr>
                <w:t>www.MyTaxForm.com</w:t>
              </w:r>
            </w:hyperlink>
            <w:r w:rsidRPr="00CF61BE">
              <w:rPr>
                <w:rFonts w:ascii="Calibri Light" w:eastAsia="Times New Roman" w:hAnsi="Calibri Light" w:cs="Arial"/>
                <w:color w:val="000000"/>
                <w:sz w:val="21"/>
                <w:szCs w:val="21"/>
              </w:rPr>
              <w:t> starting Jan. 20. This form contains information about your health care coverage that will be needed to complete your income tax return. Those who chose the digital format will have unlimited access to the document until Dec. 31. Any employee who did not consent to electronic delivery of the form will receive a paper copy through the U.S. mail. Lost or damaged forms will be reissued at no cost; however, a fee will be charged for each additional paper copy. See </w:t>
            </w:r>
            <w:hyperlink r:id="rId17" w:history="1">
              <w:r w:rsidRPr="00CF61BE">
                <w:rPr>
                  <w:rStyle w:val="Hyperlink"/>
                  <w:rFonts w:ascii="Calibri Light" w:eastAsia="Times New Roman" w:hAnsi="Calibri Light" w:cs="Arial"/>
                  <w:color w:val="954F72"/>
                  <w:sz w:val="21"/>
                  <w:szCs w:val="21"/>
                  <w:lang w:val="en"/>
                </w:rPr>
                <w:t>https://utmb.us/2i4</w:t>
              </w:r>
            </w:hyperlink>
            <w:r w:rsidRPr="00CF61BE">
              <w:rPr>
                <w:rFonts w:ascii="Calibri Light" w:eastAsia="Times New Roman" w:hAnsi="Calibri Light" w:cs="Arial"/>
                <w:color w:val="000000"/>
                <w:sz w:val="21"/>
                <w:szCs w:val="21"/>
              </w:rPr>
              <w:t> for assistance with logging in to MyTaxForm.com or email </w:t>
            </w:r>
            <w:hyperlink r:id="rId18" w:history="1">
              <w:r w:rsidRPr="00CF61BE">
                <w:rPr>
                  <w:rStyle w:val="Hyperlink"/>
                  <w:rFonts w:ascii="Calibri Light" w:eastAsia="Times New Roman" w:hAnsi="Calibri Light" w:cs="Arial"/>
                  <w:color w:val="954F72"/>
                  <w:sz w:val="21"/>
                  <w:szCs w:val="21"/>
                </w:rPr>
                <w:t>hrservic@utmb.edu</w:t>
              </w:r>
            </w:hyperlink>
            <w:r w:rsidRPr="00CF61BE">
              <w:rPr>
                <w:rFonts w:ascii="Calibri Light" w:eastAsia="Times New Roman" w:hAnsi="Calibri Light" w:cs="Arial"/>
                <w:color w:val="000000"/>
                <w:sz w:val="21"/>
                <w:szCs w:val="21"/>
              </w:rPr>
              <w:t>.</w:t>
            </w:r>
          </w:p>
          <w:p w14:paraId="3CC034FC" w14:textId="2AB3E6A8" w:rsidR="00CF61BE" w:rsidRDefault="00CF61BE" w:rsidP="00CF61BE">
            <w:pPr>
              <w:rPr>
                <w:rFonts w:ascii="Calibri Light" w:eastAsia="Times New Roman" w:hAnsi="Calibri Light" w:cs="Arial"/>
                <w:color w:val="000000"/>
                <w:sz w:val="21"/>
                <w:szCs w:val="21"/>
              </w:rPr>
            </w:pPr>
            <w:r>
              <w:rPr>
                <w:rFonts w:ascii="Calibri Light" w:eastAsia="Times New Roman" w:hAnsi="Calibri Light" w:cs="Arial"/>
                <w:color w:val="000000"/>
                <w:sz w:val="21"/>
                <w:szCs w:val="21"/>
              </w:rPr>
              <w:t xml:space="preserve"> </w:t>
            </w:r>
          </w:p>
          <w:p w14:paraId="0563EF77" w14:textId="77777777" w:rsidR="00CF61BE" w:rsidRPr="006D1AFD" w:rsidRDefault="00CF61BE" w:rsidP="00CF61BE">
            <w:pPr>
              <w:rPr>
                <w:rFonts w:asciiTheme="majorHAnsi" w:hAnsiTheme="majorHAnsi"/>
                <w:b/>
                <w:color w:val="FF0000"/>
                <w:sz w:val="20"/>
                <w:szCs w:val="20"/>
              </w:rPr>
            </w:pPr>
            <w:r w:rsidRPr="006D1AFD">
              <w:rPr>
                <w:rFonts w:asciiTheme="majorHAnsi" w:hAnsiTheme="majorHAnsi"/>
                <w:b/>
                <w:color w:val="FF0000"/>
                <w:sz w:val="20"/>
                <w:szCs w:val="20"/>
              </w:rPr>
              <w:t>REMINDER</w:t>
            </w:r>
          </w:p>
          <w:p w14:paraId="34247C4D" w14:textId="46E61FEF" w:rsidR="00D41379" w:rsidRDefault="00CF61BE" w:rsidP="00D41379">
            <w:pPr>
              <w:rPr>
                <w:rFonts w:ascii="Calibri Light" w:hAnsi="Calibri Light" w:cs="Arial"/>
                <w:bCs/>
                <w:color w:val="000000"/>
                <w:sz w:val="20"/>
                <w:szCs w:val="20"/>
              </w:rPr>
            </w:pPr>
            <w:r>
              <w:rPr>
                <w:rFonts w:asciiTheme="majorHAnsi" w:hAnsiTheme="majorHAnsi"/>
                <w:b/>
              </w:rPr>
              <w:t>Town Hall on Jan. 24</w:t>
            </w:r>
            <w:r w:rsidR="00D41379">
              <w:rPr>
                <w:rFonts w:asciiTheme="majorHAnsi" w:hAnsiTheme="majorHAnsi"/>
                <w:b/>
              </w:rPr>
              <w:t>:</w:t>
            </w:r>
            <w:r w:rsidR="00D41379">
              <w:rPr>
                <w:rFonts w:ascii="Calibri Light" w:hAnsi="Calibri Light" w:cs="Arial"/>
                <w:bCs/>
                <w:color w:val="000000"/>
                <w:sz w:val="20"/>
                <w:szCs w:val="20"/>
              </w:rPr>
              <w:t xml:space="preserve"> </w:t>
            </w:r>
          </w:p>
          <w:p w14:paraId="33D5B003" w14:textId="59F61BA0" w:rsidR="009E62E6" w:rsidRPr="00CF61BE" w:rsidRDefault="00CF61BE" w:rsidP="009E62E6">
            <w:pPr>
              <w:rPr>
                <w:rFonts w:ascii="Calibri Light" w:eastAsia="Times New Roman" w:hAnsi="Calibri Light"/>
                <w:sz w:val="21"/>
                <w:szCs w:val="21"/>
              </w:rPr>
            </w:pPr>
            <w:r w:rsidRPr="00CF61BE">
              <w:rPr>
                <w:rFonts w:ascii="Calibri Light" w:eastAsia="Times New Roman" w:hAnsi="Calibri Light" w:cs="Arial"/>
                <w:color w:val="000000"/>
                <w:sz w:val="21"/>
                <w:szCs w:val="21"/>
              </w:rPr>
              <w:t xml:space="preserve">Please plan to attend Dr. </w:t>
            </w:r>
            <w:proofErr w:type="spellStart"/>
            <w:r w:rsidRPr="00CF61BE">
              <w:rPr>
                <w:rFonts w:ascii="Calibri Light" w:eastAsia="Times New Roman" w:hAnsi="Calibri Light" w:cs="Arial"/>
                <w:color w:val="000000"/>
                <w:sz w:val="21"/>
                <w:szCs w:val="21"/>
              </w:rPr>
              <w:t>Callender’s</w:t>
            </w:r>
            <w:proofErr w:type="spellEnd"/>
            <w:r w:rsidRPr="00CF61BE">
              <w:rPr>
                <w:rFonts w:ascii="Calibri Light" w:eastAsia="Times New Roman" w:hAnsi="Calibri Light" w:cs="Arial"/>
                <w:color w:val="000000"/>
                <w:sz w:val="21"/>
                <w:szCs w:val="21"/>
              </w:rPr>
              <w:t xml:space="preserve"> next Town Hall Jan. 24 at noon in Levin Hall on the Galveston Campus. For more information, including online viewing options, visit </w:t>
            </w:r>
            <w:hyperlink r:id="rId19" w:history="1">
              <w:r w:rsidRPr="00CF61BE">
                <w:rPr>
                  <w:rStyle w:val="Hyperlink"/>
                  <w:rFonts w:ascii="Calibri Light" w:eastAsia="Times New Roman" w:hAnsi="Calibri Light" w:cs="Arial"/>
                  <w:color w:val="954F72"/>
                  <w:sz w:val="21"/>
                  <w:szCs w:val="21"/>
                </w:rPr>
                <w:t>https://www.utmb.edu/townhall/</w:t>
              </w:r>
            </w:hyperlink>
            <w:r w:rsidRPr="00CF61BE">
              <w:rPr>
                <w:rFonts w:ascii="Calibri Light" w:eastAsia="Times New Roman" w:hAnsi="Calibri Light" w:cs="Arial"/>
                <w:color w:val="000000"/>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71"/>
        </w:trPr>
        <w:tc>
          <w:tcPr>
            <w:tcW w:w="5153" w:type="dxa"/>
            <w:gridSpan w:val="3"/>
            <w:vMerge w:val="restart"/>
            <w:tcBorders>
              <w:top w:val="single" w:sz="8" w:space="0" w:color="auto"/>
              <w:left w:val="single" w:sz="8" w:space="0" w:color="auto"/>
              <w:right w:val="single" w:sz="4" w:space="0" w:color="auto"/>
            </w:tcBorders>
          </w:tcPr>
          <w:p w14:paraId="48BE414C" w14:textId="77777777" w:rsidR="006D1AFD" w:rsidRDefault="006D1AFD" w:rsidP="009E62E6">
            <w:pPr>
              <w:rPr>
                <w:rFonts w:ascii="Calibri Light" w:eastAsia="Times New Roman" w:hAnsi="Calibri Light" w:cs="Arial"/>
                <w:color w:val="000000"/>
                <w:sz w:val="21"/>
                <w:szCs w:val="21"/>
                <w:shd w:val="clear" w:color="auto" w:fill="FFFFFF"/>
              </w:rPr>
            </w:pPr>
          </w:p>
          <w:p w14:paraId="359D95EA" w14:textId="77777777" w:rsidR="006D1AFD" w:rsidRPr="006D1AFD" w:rsidRDefault="006D1AFD" w:rsidP="006D1AFD">
            <w:pPr>
              <w:rPr>
                <w:rFonts w:asciiTheme="majorHAnsi" w:hAnsiTheme="majorHAnsi"/>
                <w:b/>
                <w:color w:val="FF0000"/>
                <w:sz w:val="20"/>
                <w:szCs w:val="20"/>
              </w:rPr>
            </w:pPr>
            <w:r w:rsidRPr="006D1AFD">
              <w:rPr>
                <w:rFonts w:asciiTheme="majorHAnsi" w:hAnsiTheme="majorHAnsi"/>
                <w:b/>
                <w:color w:val="FF0000"/>
                <w:sz w:val="20"/>
                <w:szCs w:val="20"/>
              </w:rPr>
              <w:t>REMINDER</w:t>
            </w:r>
          </w:p>
          <w:p w14:paraId="6959A4AD" w14:textId="00582717" w:rsidR="00CF61BE" w:rsidRDefault="00CF61BE" w:rsidP="00CF61BE">
            <w:pPr>
              <w:rPr>
                <w:rFonts w:ascii="Calibri Light" w:hAnsi="Calibri Light" w:cs="Arial"/>
                <w:bCs/>
                <w:color w:val="000000"/>
                <w:sz w:val="20"/>
                <w:szCs w:val="20"/>
              </w:rPr>
            </w:pPr>
            <w:r>
              <w:rPr>
                <w:rFonts w:asciiTheme="majorHAnsi" w:hAnsiTheme="majorHAnsi"/>
                <w:b/>
              </w:rPr>
              <w:t>UT System Regents’ Outstanding Employee Award nominations:</w:t>
            </w:r>
            <w:r>
              <w:rPr>
                <w:rFonts w:ascii="Calibri Light" w:hAnsi="Calibri Light" w:cs="Arial"/>
                <w:bCs/>
                <w:color w:val="000000"/>
                <w:sz w:val="20"/>
                <w:szCs w:val="20"/>
              </w:rPr>
              <w:t xml:space="preserve"> </w:t>
            </w:r>
          </w:p>
          <w:p w14:paraId="2F0F7DC1" w14:textId="77777777" w:rsidR="00CF61BE" w:rsidRPr="00CF61BE" w:rsidRDefault="00CF61BE" w:rsidP="00CF61BE">
            <w:pPr>
              <w:rPr>
                <w:rFonts w:ascii="Calibri Light" w:eastAsia="Times New Roman" w:hAnsi="Calibri Light"/>
                <w:sz w:val="21"/>
                <w:szCs w:val="21"/>
              </w:rPr>
            </w:pPr>
            <w:r w:rsidRPr="00CF61BE">
              <w:rPr>
                <w:rFonts w:ascii="Calibri Light" w:eastAsia="Times New Roman" w:hAnsi="Calibri Light" w:cs="Arial"/>
                <w:color w:val="000000"/>
                <w:sz w:val="21"/>
                <w:szCs w:val="21"/>
              </w:rPr>
              <w:t>The University of Texas System Board of Regents has established the Regents’ Outstanding Employee Award (ROEA) to recognize full-time, benefits-eligible, non-faculty employees who have shown outstanding performance, innovation, enthusiasm and dedication in their job. If you know someone at UTMB who has made a significant impact in their job and whose efforts have helped improve the institution, please consider nominating them for this honor. The deadline for applications and required letters of support is Feb. 4 at 7 p.m. Equal consideration is given to UTMB employees across all job categories; however, faculty members and students are not eligible because UT System offers other awards for these groups. Thirty awards will be given out each year across the 14 UT System institutions and the UT System Administration. Winners receive $10,000, a Chancellor’s challenge coin, a certificate and an invitation for the awardee and a guest to attend a luncheon ceremony in Austin. To learn more about the selection process and criteria and to nominate an employee, visit </w:t>
            </w:r>
            <w:hyperlink r:id="rId24" w:history="1">
              <w:r w:rsidRPr="00CF61BE">
                <w:rPr>
                  <w:rStyle w:val="Hyperlink"/>
                  <w:rFonts w:ascii="Calibri Light" w:eastAsia="Times New Roman" w:hAnsi="Calibri Light" w:cs="Arial"/>
                  <w:color w:val="954F72"/>
                  <w:sz w:val="21"/>
                  <w:szCs w:val="21"/>
                </w:rPr>
                <w:t>https://www.utmb.edu/roea</w:t>
              </w:r>
            </w:hyperlink>
            <w:r w:rsidRPr="00CF61BE">
              <w:rPr>
                <w:rFonts w:ascii="Calibri Light" w:eastAsia="Times New Roman" w:hAnsi="Calibri Light" w:cs="Arial"/>
                <w:color w:val="000000"/>
                <w:sz w:val="21"/>
                <w:szCs w:val="21"/>
              </w:rPr>
              <w:t>. </w:t>
            </w:r>
          </w:p>
          <w:p w14:paraId="63F3ECA9" w14:textId="5000F4E0" w:rsidR="00212AAF" w:rsidRDefault="004C7EA8" w:rsidP="00930D3D">
            <w:pPr>
              <w:rPr>
                <w:rFonts w:ascii="Calibri Light" w:eastAsia="Times New Roman" w:hAnsi="Calibri Light"/>
                <w:sz w:val="21"/>
                <w:szCs w:val="21"/>
              </w:rPr>
            </w:pPr>
            <w:r>
              <w:rPr>
                <w:rFonts w:asciiTheme="majorHAnsi" w:hAnsiTheme="majorHAnsi"/>
                <w:noProof/>
                <w:sz w:val="20"/>
              </w:rPr>
              <w:drawing>
                <wp:anchor distT="0" distB="0" distL="114300" distR="114300" simplePos="0" relativeHeight="251766272" behindDoc="0" locked="0" layoutInCell="1" allowOverlap="1" wp14:anchorId="73D41D8A" wp14:editId="704FDBCC">
                  <wp:simplePos x="0" y="0"/>
                  <wp:positionH relativeFrom="column">
                    <wp:posOffset>-1814</wp:posOffset>
                  </wp:positionH>
                  <wp:positionV relativeFrom="paragraph">
                    <wp:posOffset>164932</wp:posOffset>
                  </wp:positionV>
                  <wp:extent cx="231049" cy="22591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40496" cy="235152"/>
                          </a:xfrm>
                          <a:prstGeom prst="rect">
                            <a:avLst/>
                          </a:prstGeom>
                        </pic:spPr>
                      </pic:pic>
                    </a:graphicData>
                  </a:graphic>
                  <wp14:sizeRelH relativeFrom="page">
                    <wp14:pctWidth>0</wp14:pctWidth>
                  </wp14:sizeRelH>
                  <wp14:sizeRelV relativeFrom="page">
                    <wp14:pctHeight>0</wp14:pctHeight>
                  </wp14:sizeRelV>
                </wp:anchor>
              </w:drawing>
            </w:r>
          </w:p>
          <w:p w14:paraId="4F33780F" w14:textId="18247EA3" w:rsidR="000D1469" w:rsidRDefault="000D1469" w:rsidP="000D1469">
            <w:pPr>
              <w:rPr>
                <w:rFonts w:ascii="Calibri Light" w:hAnsi="Calibri Light" w:cs="Arial"/>
                <w:bCs/>
                <w:color w:val="000000"/>
                <w:sz w:val="20"/>
                <w:szCs w:val="20"/>
              </w:rPr>
            </w:pPr>
            <w:r>
              <w:rPr>
                <w:rFonts w:asciiTheme="majorHAnsi" w:hAnsiTheme="majorHAnsi"/>
                <w:b/>
              </w:rPr>
              <w:t xml:space="preserve">       </w:t>
            </w:r>
            <w:r w:rsidR="004C7EA8">
              <w:rPr>
                <w:rFonts w:asciiTheme="majorHAnsi" w:hAnsiTheme="majorHAnsi"/>
                <w:b/>
              </w:rPr>
              <w:t>CMC: Hospital Galveston metrics for December</w:t>
            </w:r>
            <w:r>
              <w:rPr>
                <w:rFonts w:asciiTheme="majorHAnsi" w:hAnsiTheme="majorHAnsi"/>
                <w:b/>
              </w:rPr>
              <w:t>:</w:t>
            </w:r>
            <w:r>
              <w:rPr>
                <w:rFonts w:ascii="Calibri Light" w:hAnsi="Calibri Light" w:cs="Arial"/>
                <w:bCs/>
                <w:color w:val="000000"/>
                <w:sz w:val="20"/>
                <w:szCs w:val="20"/>
              </w:rPr>
              <w:t xml:space="preserve"> </w:t>
            </w:r>
          </w:p>
          <w:p w14:paraId="0FFEB5F6" w14:textId="5840C245" w:rsidR="00212AAF" w:rsidRDefault="004C7EA8" w:rsidP="004C7EA8">
            <w:pPr>
              <w:rPr>
                <w:rFonts w:ascii="Calibri Light" w:eastAsia="Times New Roman" w:hAnsi="Calibri Light"/>
                <w:color w:val="000000"/>
                <w:sz w:val="21"/>
                <w:szCs w:val="21"/>
              </w:rPr>
            </w:pPr>
            <w:r>
              <w:rPr>
                <w:rFonts w:ascii="Calibri Light" w:eastAsia="Times New Roman" w:hAnsi="Calibri Light"/>
                <w:noProof/>
                <w:color w:val="000000"/>
                <w:sz w:val="21"/>
                <w:szCs w:val="21"/>
              </w:rPr>
              <w:drawing>
                <wp:inline distT="0" distB="0" distL="0" distR="0" wp14:anchorId="4199D3B4" wp14:editId="3FE1C902">
                  <wp:extent cx="3128645" cy="802640"/>
                  <wp:effectExtent l="0" t="0" r="0" b="10160"/>
                  <wp:docPr id="6" name="Picture 6" descr="../../../../Screen%20Shot%202018-01-18%20at%209.06.20%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8-01-18%20at%209.06.20%20A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8645" cy="802640"/>
                          </a:xfrm>
                          <a:prstGeom prst="rect">
                            <a:avLst/>
                          </a:prstGeom>
                          <a:noFill/>
                          <a:ln>
                            <a:noFill/>
                          </a:ln>
                        </pic:spPr>
                      </pic:pic>
                    </a:graphicData>
                  </a:graphic>
                </wp:inline>
              </w:drawing>
            </w:r>
          </w:p>
          <w:p w14:paraId="682D77B1" w14:textId="4769C61B" w:rsidR="004C7EA8" w:rsidRDefault="004C7EA8" w:rsidP="004C7EA8">
            <w:pPr>
              <w:rPr>
                <w:rFonts w:ascii="Calibri Light" w:eastAsia="Times New Roman" w:hAnsi="Calibri Light"/>
                <w:color w:val="000000"/>
                <w:sz w:val="21"/>
                <w:szCs w:val="21"/>
              </w:rPr>
            </w:pPr>
            <w:r>
              <w:rPr>
                <w:rFonts w:asciiTheme="majorHAnsi" w:hAnsiTheme="majorHAnsi"/>
                <w:noProof/>
                <w:sz w:val="20"/>
              </w:rPr>
              <w:drawing>
                <wp:anchor distT="0" distB="0" distL="114300" distR="114300" simplePos="0" relativeHeight="251768320" behindDoc="0" locked="0" layoutInCell="1" allowOverlap="1" wp14:anchorId="2BEF7D35" wp14:editId="771088B0">
                  <wp:simplePos x="0" y="0"/>
                  <wp:positionH relativeFrom="column">
                    <wp:posOffset>3084</wp:posOffset>
                  </wp:positionH>
                  <wp:positionV relativeFrom="paragraph">
                    <wp:posOffset>146853</wp:posOffset>
                  </wp:positionV>
                  <wp:extent cx="231049" cy="22591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31049" cy="225915"/>
                          </a:xfrm>
                          <a:prstGeom prst="rect">
                            <a:avLst/>
                          </a:prstGeom>
                        </pic:spPr>
                      </pic:pic>
                    </a:graphicData>
                  </a:graphic>
                  <wp14:sizeRelH relativeFrom="page">
                    <wp14:pctWidth>0</wp14:pctWidth>
                  </wp14:sizeRelH>
                  <wp14:sizeRelV relativeFrom="page">
                    <wp14:pctHeight>0</wp14:pctHeight>
                  </wp14:sizeRelV>
                </wp:anchor>
              </w:drawing>
            </w:r>
          </w:p>
          <w:p w14:paraId="3355C2C7" w14:textId="788FE3FF" w:rsidR="004C7EA8" w:rsidRDefault="004C7EA8" w:rsidP="004C7EA8">
            <w:pPr>
              <w:rPr>
                <w:rFonts w:ascii="Calibri Light" w:hAnsi="Calibri Light" w:cs="Arial"/>
                <w:bCs/>
                <w:color w:val="000000"/>
                <w:sz w:val="20"/>
                <w:szCs w:val="20"/>
              </w:rPr>
            </w:pPr>
            <w:r>
              <w:rPr>
                <w:rFonts w:asciiTheme="majorHAnsi" w:hAnsiTheme="majorHAnsi"/>
                <w:b/>
              </w:rPr>
              <w:t xml:space="preserve">       CMC: American Correctional Association (ACA) re-accreditation:</w:t>
            </w:r>
            <w:r>
              <w:rPr>
                <w:rFonts w:ascii="Calibri Light" w:hAnsi="Calibri Light" w:cs="Arial"/>
                <w:bCs/>
                <w:color w:val="000000"/>
                <w:sz w:val="20"/>
                <w:szCs w:val="20"/>
              </w:rPr>
              <w:t xml:space="preserve"> </w:t>
            </w:r>
          </w:p>
          <w:p w14:paraId="1C59C659" w14:textId="77777777" w:rsidR="004C7EA8" w:rsidRDefault="004C7EA8" w:rsidP="004C7EA8">
            <w:pPr>
              <w:rPr>
                <w:rFonts w:ascii="Calibri Light" w:eastAsia="Times New Roman" w:hAnsi="Calibri Light" w:cs="Arial"/>
                <w:color w:val="000000"/>
                <w:sz w:val="21"/>
                <w:szCs w:val="21"/>
              </w:rPr>
            </w:pPr>
            <w:r w:rsidRPr="004C7EA8">
              <w:rPr>
                <w:rFonts w:ascii="Calibri Light" w:eastAsia="Times New Roman" w:hAnsi="Calibri Light" w:cs="Arial"/>
                <w:color w:val="000000"/>
                <w:sz w:val="21"/>
                <w:szCs w:val="21"/>
              </w:rPr>
              <w:t>The following facilities were re-accredited at the recent ACA panel hearings in Orlando, Florida:</w:t>
            </w:r>
          </w:p>
          <w:p w14:paraId="61768866"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Bridgeport</w:t>
            </w:r>
          </w:p>
          <w:p w14:paraId="1B5B9A2F" w14:textId="77777777" w:rsidR="004C7EA8" w:rsidRPr="004C7EA8" w:rsidRDefault="004C7EA8" w:rsidP="004C7EA8">
            <w:pPr>
              <w:numPr>
                <w:ilvl w:val="0"/>
                <w:numId w:val="39"/>
              </w:numPr>
              <w:rPr>
                <w:rFonts w:ascii="Calibri Light" w:eastAsia="Times New Roman" w:hAnsi="Calibri Light"/>
                <w:color w:val="000000"/>
                <w:sz w:val="21"/>
                <w:szCs w:val="21"/>
              </w:rPr>
            </w:pPr>
            <w:proofErr w:type="spellStart"/>
            <w:r w:rsidRPr="004C7EA8">
              <w:rPr>
                <w:rFonts w:ascii="Calibri Light" w:eastAsia="Times New Roman" w:hAnsi="Calibri Light" w:cs="Arial"/>
                <w:color w:val="000000"/>
                <w:sz w:val="21"/>
                <w:szCs w:val="21"/>
              </w:rPr>
              <w:t>Beto</w:t>
            </w:r>
            <w:proofErr w:type="spellEnd"/>
          </w:p>
          <w:p w14:paraId="2436AA7C"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Briscoe-Cotulla</w:t>
            </w:r>
          </w:p>
          <w:p w14:paraId="60370D5E"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Cole-Moore</w:t>
            </w:r>
          </w:p>
          <w:p w14:paraId="3B08C370"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Gist</w:t>
            </w:r>
          </w:p>
          <w:p w14:paraId="5A3E75EE"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Goodman</w:t>
            </w:r>
          </w:p>
          <w:p w14:paraId="293F07ED"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Holliday</w:t>
            </w:r>
          </w:p>
          <w:p w14:paraId="721FC81E"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LeBlanc</w:t>
            </w:r>
          </w:p>
          <w:p w14:paraId="484D0981"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Segovia Lopez</w:t>
            </w:r>
          </w:p>
          <w:p w14:paraId="4E727533"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Luther</w:t>
            </w:r>
          </w:p>
          <w:p w14:paraId="18070F7B" w14:textId="77777777" w:rsidR="004C7EA8" w:rsidRPr="004C7EA8" w:rsidRDefault="004C7EA8" w:rsidP="004C7EA8">
            <w:pPr>
              <w:numPr>
                <w:ilvl w:val="0"/>
                <w:numId w:val="39"/>
              </w:numPr>
              <w:rPr>
                <w:rFonts w:ascii="Calibri Light" w:eastAsia="Times New Roman" w:hAnsi="Calibri Light"/>
                <w:color w:val="000000"/>
                <w:sz w:val="21"/>
                <w:szCs w:val="21"/>
              </w:rPr>
            </w:pPr>
            <w:proofErr w:type="spellStart"/>
            <w:r w:rsidRPr="004C7EA8">
              <w:rPr>
                <w:rFonts w:ascii="Calibri Light" w:eastAsia="Times New Roman" w:hAnsi="Calibri Light" w:cs="Arial"/>
                <w:color w:val="000000"/>
                <w:sz w:val="21"/>
                <w:szCs w:val="21"/>
              </w:rPr>
              <w:t>Polunsky</w:t>
            </w:r>
            <w:proofErr w:type="spellEnd"/>
          </w:p>
          <w:p w14:paraId="61E98F03" w14:textId="77777777" w:rsidR="004C7EA8" w:rsidRPr="004C7EA8" w:rsidRDefault="004C7EA8" w:rsidP="004C7EA8">
            <w:pPr>
              <w:numPr>
                <w:ilvl w:val="0"/>
                <w:numId w:val="39"/>
              </w:numPr>
              <w:rPr>
                <w:rFonts w:ascii="Calibri Light" w:eastAsia="Times New Roman" w:hAnsi="Calibri Light"/>
                <w:color w:val="000000"/>
                <w:sz w:val="21"/>
                <w:szCs w:val="21"/>
              </w:rPr>
            </w:pPr>
            <w:r w:rsidRPr="004C7EA8">
              <w:rPr>
                <w:rFonts w:ascii="Calibri Light" w:eastAsia="Times New Roman" w:hAnsi="Calibri Light" w:cs="Arial"/>
                <w:color w:val="000000"/>
                <w:sz w:val="21"/>
                <w:szCs w:val="21"/>
              </w:rPr>
              <w:t>Stiles</w:t>
            </w:r>
          </w:p>
          <w:p w14:paraId="397AB352" w14:textId="183A0D39" w:rsidR="004C7EA8" w:rsidRPr="004C7EA8" w:rsidRDefault="004C7EA8" w:rsidP="004C7EA8">
            <w:pPr>
              <w:numPr>
                <w:ilvl w:val="0"/>
                <w:numId w:val="39"/>
              </w:numPr>
              <w:rPr>
                <w:rFonts w:ascii="Calibri" w:eastAsia="Times New Roman" w:hAnsi="Calibri"/>
                <w:color w:val="000000"/>
              </w:rPr>
            </w:pPr>
            <w:r w:rsidRPr="004C7EA8">
              <w:rPr>
                <w:rFonts w:ascii="Calibri Light" w:eastAsia="Times New Roman" w:hAnsi="Calibri Light" w:cs="Arial"/>
                <w:color w:val="000000"/>
                <w:sz w:val="21"/>
                <w:szCs w:val="21"/>
              </w:rPr>
              <w:t>Torres-Ney</w:t>
            </w:r>
          </w:p>
        </w:tc>
        <w:tc>
          <w:tcPr>
            <w:tcW w:w="6120" w:type="dxa"/>
            <w:gridSpan w:val="2"/>
            <w:tcBorders>
              <w:left w:val="single" w:sz="4" w:space="0" w:color="auto"/>
              <w:right w:val="single" w:sz="8" w:space="0" w:color="auto"/>
            </w:tcBorders>
            <w:shd w:val="clear" w:color="auto" w:fill="FFFFFF" w:themeFill="background1"/>
          </w:tcPr>
          <w:p w14:paraId="0513CCE8" w14:textId="77777777" w:rsidR="006D1AFD" w:rsidRDefault="006D1AFD" w:rsidP="006D1AFD">
            <w:pPr>
              <w:rPr>
                <w:rFonts w:ascii="Calibri Light" w:eastAsia="Times New Roman" w:hAnsi="Calibri Light"/>
                <w:sz w:val="21"/>
                <w:szCs w:val="21"/>
              </w:rPr>
            </w:pPr>
            <w:r>
              <w:rPr>
                <w:rFonts w:asciiTheme="majorHAnsi" w:hAnsiTheme="majorHAnsi"/>
                <w:noProof/>
                <w:sz w:val="20"/>
              </w:rPr>
              <w:drawing>
                <wp:anchor distT="0" distB="0" distL="114300" distR="114300" simplePos="0" relativeHeight="251764224" behindDoc="0" locked="0" layoutInCell="1" allowOverlap="1" wp14:anchorId="6D3C24FD" wp14:editId="3763E097">
                  <wp:simplePos x="0" y="0"/>
                  <wp:positionH relativeFrom="column">
                    <wp:posOffset>-70459</wp:posOffset>
                  </wp:positionH>
                  <wp:positionV relativeFrom="paragraph">
                    <wp:posOffset>161692</wp:posOffset>
                  </wp:positionV>
                  <wp:extent cx="240154" cy="2047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p>
          <w:p w14:paraId="575892B4" w14:textId="523096BA" w:rsidR="006D1AFD" w:rsidRDefault="006D1AFD" w:rsidP="006D1AF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The Joint Commission Questions of the Week</w:t>
            </w:r>
            <w:r w:rsidR="00CF61BE">
              <w:rPr>
                <w:rFonts w:asciiTheme="majorHAnsi" w:eastAsia="Times New Roman" w:hAnsiTheme="majorHAnsi" w:cs="Arial"/>
                <w:b/>
                <w:color w:val="000000" w:themeColor="text1"/>
                <w:szCs w:val="20"/>
              </w:rPr>
              <w:t>:</w:t>
            </w:r>
          </w:p>
          <w:p w14:paraId="15D647F0" w14:textId="77777777" w:rsidR="00CF61BE" w:rsidRPr="00CF61BE" w:rsidRDefault="00CF61BE" w:rsidP="00CF61BE">
            <w:pPr>
              <w:ind w:left="360"/>
              <w:rPr>
                <w:rFonts w:ascii="Calibri Light" w:eastAsia="Times New Roman" w:hAnsi="Calibri Light"/>
                <w:color w:val="000000"/>
                <w:sz w:val="21"/>
                <w:szCs w:val="21"/>
              </w:rPr>
            </w:pPr>
            <w:r>
              <w:rPr>
                <w:rFonts w:ascii="Calibri" w:eastAsia="Times New Roman" w:hAnsi="Calibri" w:cs="Arial"/>
                <w:b/>
                <w:bCs/>
                <w:color w:val="000000"/>
                <w:sz w:val="21"/>
                <w:szCs w:val="21"/>
              </w:rPr>
              <w:t>Did you know that what The Joint Commission sees is just as important as what they ask</w:t>
            </w:r>
            <w:r w:rsidR="006D1AFD" w:rsidRPr="000D1469">
              <w:rPr>
                <w:rFonts w:ascii="Calibri" w:eastAsia="Times New Roman" w:hAnsi="Calibri" w:cs="Arial"/>
                <w:b/>
                <w:bCs/>
                <w:color w:val="000000"/>
                <w:sz w:val="21"/>
                <w:szCs w:val="21"/>
              </w:rPr>
              <w:t>?</w:t>
            </w:r>
            <w:r w:rsidR="006D1AFD" w:rsidRPr="006D1AFD">
              <w:rPr>
                <w:rFonts w:ascii="Calibri Light" w:eastAsia="Times New Roman" w:hAnsi="Calibri Light" w:cs="Arial"/>
                <w:color w:val="000000"/>
                <w:sz w:val="21"/>
                <w:szCs w:val="21"/>
              </w:rPr>
              <w:t xml:space="preserve"> </w:t>
            </w:r>
            <w:r w:rsidRPr="00CF61BE">
              <w:rPr>
                <w:rFonts w:ascii="Calibri Light" w:eastAsia="Times New Roman" w:hAnsi="Calibri Light" w:cs="Arial"/>
                <w:color w:val="000000"/>
                <w:sz w:val="21"/>
                <w:szCs w:val="21"/>
              </w:rPr>
              <w:t>During the survey, Joint Commission will be observing people working and the environment while they ask questions. What will Joint Commission see in your area?</w:t>
            </w:r>
          </w:p>
          <w:p w14:paraId="58928B64" w14:textId="1A1AD626" w:rsidR="00CF61BE" w:rsidRPr="00CF61BE" w:rsidRDefault="00CF61BE" w:rsidP="00CF61BE">
            <w:pPr>
              <w:pStyle w:val="ListParagraph"/>
              <w:numPr>
                <w:ilvl w:val="0"/>
                <w:numId w:val="38"/>
              </w:numPr>
              <w:rPr>
                <w:rFonts w:ascii="Calibri Light" w:hAnsi="Calibri Light"/>
                <w:color w:val="000000"/>
                <w:sz w:val="21"/>
                <w:szCs w:val="21"/>
              </w:rPr>
            </w:pPr>
            <w:r w:rsidRPr="00CF61BE">
              <w:rPr>
                <w:rFonts w:ascii="Calibri Light" w:hAnsi="Calibri Light" w:cs="Arial"/>
                <w:color w:val="000000"/>
                <w:sz w:val="21"/>
                <w:szCs w:val="21"/>
              </w:rPr>
              <w:t>Hand hygiene! </w:t>
            </w:r>
          </w:p>
          <w:p w14:paraId="08FA66EE" w14:textId="12961E1D" w:rsidR="00CF61BE" w:rsidRPr="00CF61BE" w:rsidRDefault="00CF61BE" w:rsidP="00CF61BE">
            <w:pPr>
              <w:pStyle w:val="ListParagraph"/>
              <w:numPr>
                <w:ilvl w:val="0"/>
                <w:numId w:val="38"/>
              </w:numPr>
              <w:rPr>
                <w:rFonts w:ascii="Calibri Light" w:hAnsi="Calibri Light"/>
                <w:color w:val="000000"/>
                <w:sz w:val="21"/>
                <w:szCs w:val="21"/>
              </w:rPr>
            </w:pPr>
            <w:r w:rsidRPr="00CF61BE">
              <w:rPr>
                <w:rFonts w:ascii="Calibri Light" w:hAnsi="Calibri Light" w:cs="Arial"/>
                <w:color w:val="000000"/>
                <w:sz w:val="21"/>
                <w:szCs w:val="21"/>
              </w:rPr>
              <w:t>Compliance with patient safety standards</w:t>
            </w:r>
          </w:p>
          <w:p w14:paraId="094B65A5" w14:textId="240DFBC1" w:rsidR="00CF61BE" w:rsidRPr="00CF61BE" w:rsidRDefault="00CF61BE" w:rsidP="00CF61BE">
            <w:pPr>
              <w:pStyle w:val="ListParagraph"/>
              <w:numPr>
                <w:ilvl w:val="0"/>
                <w:numId w:val="38"/>
              </w:numPr>
              <w:rPr>
                <w:rFonts w:ascii="Calibri Light" w:hAnsi="Calibri Light"/>
                <w:color w:val="000000"/>
                <w:sz w:val="21"/>
                <w:szCs w:val="21"/>
              </w:rPr>
            </w:pPr>
            <w:r w:rsidRPr="00CF61BE">
              <w:rPr>
                <w:rFonts w:ascii="Calibri Light" w:hAnsi="Calibri Light" w:cs="Arial"/>
                <w:color w:val="000000"/>
                <w:sz w:val="21"/>
                <w:szCs w:val="21"/>
              </w:rPr>
              <w:t>Timeouts prior to procedures</w:t>
            </w:r>
          </w:p>
          <w:p w14:paraId="2C8732B9" w14:textId="477FDDF3" w:rsidR="00CF61BE" w:rsidRPr="00CF61BE" w:rsidRDefault="00CF61BE" w:rsidP="00CF61BE">
            <w:pPr>
              <w:pStyle w:val="ListParagraph"/>
              <w:numPr>
                <w:ilvl w:val="0"/>
                <w:numId w:val="38"/>
              </w:numPr>
              <w:rPr>
                <w:rFonts w:ascii="Calibri Light" w:hAnsi="Calibri Light"/>
                <w:color w:val="000000"/>
                <w:sz w:val="21"/>
                <w:szCs w:val="21"/>
              </w:rPr>
            </w:pPr>
            <w:r w:rsidRPr="00CF61BE">
              <w:rPr>
                <w:rFonts w:ascii="Calibri Light" w:hAnsi="Calibri Light" w:cs="Arial"/>
                <w:color w:val="000000"/>
                <w:sz w:val="21"/>
                <w:szCs w:val="21"/>
              </w:rPr>
              <w:t>Verification of two patient identifiers</w:t>
            </w:r>
          </w:p>
          <w:p w14:paraId="59B1BD7F" w14:textId="0F728E05" w:rsidR="00CF61BE" w:rsidRPr="00CF61BE" w:rsidRDefault="00CF61BE" w:rsidP="00CF61BE">
            <w:pPr>
              <w:pStyle w:val="ListParagraph"/>
              <w:numPr>
                <w:ilvl w:val="0"/>
                <w:numId w:val="38"/>
              </w:numPr>
              <w:rPr>
                <w:rFonts w:ascii="Calibri Light" w:hAnsi="Calibri Light"/>
                <w:color w:val="000000"/>
                <w:sz w:val="21"/>
                <w:szCs w:val="21"/>
              </w:rPr>
            </w:pPr>
            <w:r w:rsidRPr="00CF61BE">
              <w:rPr>
                <w:rFonts w:ascii="Calibri Light" w:hAnsi="Calibri Light" w:cs="Arial"/>
                <w:color w:val="000000"/>
                <w:sz w:val="21"/>
                <w:szCs w:val="21"/>
              </w:rPr>
              <w:t>Clean workstations</w:t>
            </w:r>
          </w:p>
          <w:p w14:paraId="12BF8642" w14:textId="38BF0805" w:rsidR="00CF61BE" w:rsidRPr="00CF61BE" w:rsidRDefault="00CF61BE" w:rsidP="00CF61BE">
            <w:pPr>
              <w:pStyle w:val="ListParagraph"/>
              <w:numPr>
                <w:ilvl w:val="0"/>
                <w:numId w:val="38"/>
              </w:numPr>
              <w:rPr>
                <w:rFonts w:ascii="Calibri Light" w:hAnsi="Calibri Light"/>
                <w:color w:val="000000"/>
                <w:sz w:val="21"/>
                <w:szCs w:val="21"/>
              </w:rPr>
            </w:pPr>
            <w:r w:rsidRPr="00CF61BE">
              <w:rPr>
                <w:rFonts w:ascii="Calibri Light" w:hAnsi="Calibri Light" w:cs="Arial"/>
                <w:color w:val="000000"/>
                <w:sz w:val="21"/>
                <w:szCs w:val="21"/>
              </w:rPr>
              <w:t>Visible employee badges</w:t>
            </w:r>
          </w:p>
          <w:p w14:paraId="7C00F787" w14:textId="3F616D09" w:rsidR="006D1AFD" w:rsidRPr="00CF61BE" w:rsidRDefault="00CF61BE" w:rsidP="00CF61BE">
            <w:pPr>
              <w:pStyle w:val="ListParagraph"/>
              <w:numPr>
                <w:ilvl w:val="0"/>
                <w:numId w:val="38"/>
              </w:numPr>
              <w:rPr>
                <w:rFonts w:ascii="Calibri Light" w:hAnsi="Calibri Light"/>
                <w:color w:val="000000"/>
                <w:sz w:val="21"/>
                <w:szCs w:val="21"/>
              </w:rPr>
            </w:pPr>
            <w:r w:rsidRPr="00CF61BE">
              <w:rPr>
                <w:rFonts w:ascii="Calibri Light" w:hAnsi="Calibri Light" w:cs="Arial"/>
                <w:color w:val="000000"/>
                <w:sz w:val="21"/>
                <w:szCs w:val="21"/>
              </w:rPr>
              <w:t>Clean, uncluttered hallways and storage areas</w:t>
            </w:r>
          </w:p>
          <w:p w14:paraId="4C24E4B6" w14:textId="4E95EF34" w:rsidR="006D1AFD" w:rsidRPr="006D1AFD" w:rsidRDefault="006D1AFD" w:rsidP="00CF61BE">
            <w:pPr>
              <w:ind w:left="-320"/>
              <w:rPr>
                <w:rFonts w:ascii="Calibri Light" w:hAnsi="Calibri Light"/>
                <w:color w:val="000000"/>
                <w:sz w:val="21"/>
                <w:szCs w:val="21"/>
              </w:rPr>
            </w:pPr>
          </w:p>
          <w:p w14:paraId="5250D18C" w14:textId="77777777" w:rsidR="00CF61BE" w:rsidRDefault="00CF61BE" w:rsidP="00CF61BE">
            <w:pPr>
              <w:ind w:left="360"/>
              <w:rPr>
                <w:rFonts w:ascii="Calibri" w:eastAsia="Times New Roman" w:hAnsi="Calibri" w:cs="Arial"/>
                <w:b/>
                <w:bCs/>
                <w:color w:val="000000"/>
                <w:sz w:val="21"/>
                <w:szCs w:val="21"/>
              </w:rPr>
            </w:pPr>
            <w:r>
              <w:rPr>
                <w:rFonts w:ascii="Calibri" w:eastAsia="Times New Roman" w:hAnsi="Calibri" w:cs="Arial"/>
                <w:b/>
                <w:bCs/>
                <w:color w:val="000000"/>
                <w:sz w:val="21"/>
                <w:szCs w:val="21"/>
              </w:rPr>
              <w:t xml:space="preserve">Quiz: Patient education is required in the following instances: </w:t>
            </w:r>
          </w:p>
          <w:p w14:paraId="43FFF61E" w14:textId="77777777" w:rsidR="00CF61BE" w:rsidRPr="00CF61BE" w:rsidRDefault="00CF61BE" w:rsidP="00CF61BE">
            <w:pPr>
              <w:ind w:left="1080" w:hanging="360"/>
              <w:rPr>
                <w:rFonts w:ascii="Calibri Light" w:hAnsi="Calibri Light"/>
                <w:color w:val="000000"/>
                <w:sz w:val="21"/>
                <w:szCs w:val="21"/>
              </w:rPr>
            </w:pPr>
            <w:r w:rsidRPr="00CF61BE">
              <w:rPr>
                <w:rFonts w:ascii="Calibri Light" w:hAnsi="Calibri Light" w:cs="Arial"/>
                <w:color w:val="000000"/>
                <w:sz w:val="21"/>
                <w:szCs w:val="21"/>
              </w:rPr>
              <w:t>a.</w:t>
            </w:r>
            <w:r w:rsidRPr="00CF61BE">
              <w:rPr>
                <w:rFonts w:ascii="Calibri Light" w:hAnsi="Calibri Light"/>
                <w:color w:val="000000"/>
                <w:sz w:val="21"/>
                <w:szCs w:val="21"/>
              </w:rPr>
              <w:t>   </w:t>
            </w:r>
            <w:r w:rsidRPr="00CF61BE">
              <w:rPr>
                <w:rStyle w:val="apple-converted-space"/>
                <w:rFonts w:ascii="Calibri Light" w:hAnsi="Calibri Light"/>
                <w:color w:val="000000"/>
                <w:sz w:val="21"/>
                <w:szCs w:val="21"/>
              </w:rPr>
              <w:t> </w:t>
            </w:r>
            <w:r w:rsidRPr="00CF61BE">
              <w:rPr>
                <w:rFonts w:ascii="Calibri Light" w:hAnsi="Calibri Light" w:cs="Arial"/>
                <w:color w:val="000000"/>
                <w:sz w:val="21"/>
                <w:szCs w:val="21"/>
              </w:rPr>
              <w:t>Patient infected or colonized with a multidrug-resistant organism (MDRO)</w:t>
            </w:r>
          </w:p>
          <w:p w14:paraId="4D91BDEE" w14:textId="77777777" w:rsidR="00CF61BE" w:rsidRPr="00CF61BE" w:rsidRDefault="00CF61BE" w:rsidP="00CF61BE">
            <w:pPr>
              <w:ind w:left="1080" w:hanging="360"/>
              <w:rPr>
                <w:rFonts w:ascii="Calibri Light" w:hAnsi="Calibri Light"/>
                <w:color w:val="000000"/>
                <w:sz w:val="21"/>
                <w:szCs w:val="21"/>
              </w:rPr>
            </w:pPr>
            <w:r w:rsidRPr="00CF61BE">
              <w:rPr>
                <w:rFonts w:ascii="Calibri Light" w:hAnsi="Calibri Light" w:cs="Arial"/>
                <w:color w:val="000000"/>
                <w:sz w:val="21"/>
                <w:szCs w:val="21"/>
              </w:rPr>
              <w:t>b.</w:t>
            </w:r>
            <w:r w:rsidRPr="00CF61BE">
              <w:rPr>
                <w:rFonts w:ascii="Calibri Light" w:hAnsi="Calibri Light"/>
                <w:color w:val="000000"/>
                <w:sz w:val="21"/>
                <w:szCs w:val="21"/>
              </w:rPr>
              <w:t>   </w:t>
            </w:r>
            <w:r w:rsidRPr="00CF61BE">
              <w:rPr>
                <w:rStyle w:val="apple-converted-space"/>
                <w:rFonts w:ascii="Calibri Light" w:hAnsi="Calibri Light"/>
                <w:color w:val="000000"/>
                <w:sz w:val="21"/>
                <w:szCs w:val="21"/>
              </w:rPr>
              <w:t> </w:t>
            </w:r>
            <w:r w:rsidRPr="00CF61BE">
              <w:rPr>
                <w:rFonts w:ascii="Calibri Light" w:hAnsi="Calibri Light" w:cs="Arial"/>
                <w:color w:val="000000"/>
                <w:sz w:val="21"/>
                <w:szCs w:val="21"/>
              </w:rPr>
              <w:t>Patient undergoing a surgical procedure</w:t>
            </w:r>
          </w:p>
          <w:p w14:paraId="6B3035EA" w14:textId="77777777" w:rsidR="00CF61BE" w:rsidRPr="00CF61BE" w:rsidRDefault="00CF61BE" w:rsidP="00CF61BE">
            <w:pPr>
              <w:ind w:left="1080" w:hanging="360"/>
              <w:rPr>
                <w:rFonts w:ascii="Calibri Light" w:hAnsi="Calibri Light"/>
                <w:color w:val="000000"/>
                <w:sz w:val="21"/>
                <w:szCs w:val="21"/>
              </w:rPr>
            </w:pPr>
            <w:r w:rsidRPr="00CF61BE">
              <w:rPr>
                <w:rFonts w:ascii="Calibri Light" w:hAnsi="Calibri Light" w:cs="Arial"/>
                <w:color w:val="000000"/>
                <w:sz w:val="21"/>
                <w:szCs w:val="21"/>
              </w:rPr>
              <w:t>c.</w:t>
            </w:r>
            <w:r w:rsidRPr="00CF61BE">
              <w:rPr>
                <w:rFonts w:ascii="Calibri Light" w:hAnsi="Calibri Light"/>
                <w:color w:val="000000"/>
                <w:sz w:val="21"/>
                <w:szCs w:val="21"/>
              </w:rPr>
              <w:t>   </w:t>
            </w:r>
            <w:r w:rsidRPr="00CF61BE">
              <w:rPr>
                <w:rStyle w:val="apple-converted-space"/>
                <w:rFonts w:ascii="Calibri Light" w:hAnsi="Calibri Light"/>
                <w:color w:val="000000"/>
                <w:sz w:val="21"/>
                <w:szCs w:val="21"/>
              </w:rPr>
              <w:t> </w:t>
            </w:r>
            <w:r w:rsidRPr="00CF61BE">
              <w:rPr>
                <w:rFonts w:ascii="Calibri Light" w:hAnsi="Calibri Light" w:cs="Arial"/>
                <w:color w:val="000000"/>
                <w:sz w:val="21"/>
                <w:szCs w:val="21"/>
              </w:rPr>
              <w:t>Prior to insertion of a central line</w:t>
            </w:r>
          </w:p>
          <w:p w14:paraId="339145C6" w14:textId="77777777" w:rsidR="00CF61BE" w:rsidRPr="00CF61BE" w:rsidRDefault="00CF61BE" w:rsidP="00CF61BE">
            <w:pPr>
              <w:ind w:left="1080" w:hanging="360"/>
              <w:rPr>
                <w:rFonts w:ascii="Calibri Light" w:hAnsi="Calibri Light"/>
                <w:color w:val="000000"/>
                <w:sz w:val="21"/>
                <w:szCs w:val="21"/>
              </w:rPr>
            </w:pPr>
            <w:r w:rsidRPr="00CF61BE">
              <w:rPr>
                <w:rFonts w:ascii="Calibri Light" w:hAnsi="Calibri Light" w:cs="Arial"/>
                <w:color w:val="000000"/>
                <w:sz w:val="21"/>
                <w:szCs w:val="21"/>
              </w:rPr>
              <w:t>d.</w:t>
            </w:r>
            <w:r w:rsidRPr="00CF61BE">
              <w:rPr>
                <w:rFonts w:ascii="Calibri Light" w:hAnsi="Calibri Light"/>
                <w:color w:val="000000"/>
                <w:sz w:val="21"/>
                <w:szCs w:val="21"/>
              </w:rPr>
              <w:t>   </w:t>
            </w:r>
            <w:r w:rsidRPr="00CF61BE">
              <w:rPr>
                <w:rStyle w:val="apple-converted-space"/>
                <w:rFonts w:ascii="Calibri Light" w:hAnsi="Calibri Light"/>
                <w:color w:val="000000"/>
                <w:sz w:val="21"/>
                <w:szCs w:val="21"/>
              </w:rPr>
              <w:t> </w:t>
            </w:r>
            <w:r w:rsidRPr="00CF61BE">
              <w:rPr>
                <w:rFonts w:ascii="Calibri Light" w:hAnsi="Calibri Light" w:cs="Arial"/>
                <w:color w:val="000000"/>
                <w:sz w:val="21"/>
                <w:szCs w:val="21"/>
              </w:rPr>
              <w:t>Patient who will have an indwelling catheter</w:t>
            </w:r>
          </w:p>
          <w:p w14:paraId="672E88D4" w14:textId="77777777" w:rsidR="00CF61BE" w:rsidRPr="00CF61BE" w:rsidRDefault="00CF61BE" w:rsidP="00CF61BE">
            <w:pPr>
              <w:ind w:left="1080" w:hanging="360"/>
              <w:rPr>
                <w:rFonts w:ascii="Calibri Light" w:hAnsi="Calibri Light"/>
                <w:color w:val="000000"/>
                <w:sz w:val="21"/>
                <w:szCs w:val="21"/>
              </w:rPr>
            </w:pPr>
            <w:r w:rsidRPr="00CF61BE">
              <w:rPr>
                <w:rFonts w:ascii="Calibri Light" w:hAnsi="Calibri Light" w:cs="Arial"/>
                <w:color w:val="000000"/>
                <w:sz w:val="21"/>
                <w:szCs w:val="21"/>
              </w:rPr>
              <w:t>e.</w:t>
            </w:r>
            <w:r w:rsidRPr="00CF61BE">
              <w:rPr>
                <w:rFonts w:ascii="Calibri Light" w:hAnsi="Calibri Light"/>
                <w:color w:val="000000"/>
                <w:sz w:val="21"/>
                <w:szCs w:val="21"/>
              </w:rPr>
              <w:t>   </w:t>
            </w:r>
            <w:r w:rsidRPr="00CF61BE">
              <w:rPr>
                <w:rStyle w:val="apple-converted-space"/>
                <w:rFonts w:ascii="Calibri Light" w:hAnsi="Calibri Light"/>
                <w:color w:val="000000"/>
                <w:sz w:val="21"/>
                <w:szCs w:val="21"/>
              </w:rPr>
              <w:t> </w:t>
            </w:r>
            <w:r w:rsidRPr="00CF61BE">
              <w:rPr>
                <w:rFonts w:ascii="Calibri Light" w:hAnsi="Calibri Light" w:cs="Arial"/>
                <w:color w:val="000000"/>
                <w:sz w:val="21"/>
                <w:szCs w:val="21"/>
              </w:rPr>
              <w:t>Patient discharged from hospital or at the end of an outpatient encounter, regarding information on medications they should be taking on discharge and the importance of managing medication information</w:t>
            </w:r>
          </w:p>
          <w:p w14:paraId="7F442D4A" w14:textId="77777777" w:rsidR="00CF61BE" w:rsidRPr="00CF61BE" w:rsidRDefault="00CF61BE" w:rsidP="00CF61BE">
            <w:pPr>
              <w:ind w:left="1080" w:hanging="360"/>
              <w:rPr>
                <w:rFonts w:ascii="Calibri Light" w:hAnsi="Calibri Light"/>
                <w:color w:val="000000"/>
                <w:sz w:val="21"/>
                <w:szCs w:val="21"/>
              </w:rPr>
            </w:pPr>
            <w:r w:rsidRPr="00CF61BE">
              <w:rPr>
                <w:rFonts w:ascii="Calibri Light" w:hAnsi="Calibri Light" w:cs="Arial"/>
                <w:color w:val="000000"/>
                <w:sz w:val="21"/>
                <w:szCs w:val="21"/>
              </w:rPr>
              <w:t>f.</w:t>
            </w:r>
            <w:r w:rsidRPr="00CF61BE">
              <w:rPr>
                <w:rFonts w:ascii="Calibri Light" w:hAnsi="Calibri Light"/>
                <w:color w:val="000000"/>
                <w:sz w:val="21"/>
                <w:szCs w:val="21"/>
              </w:rPr>
              <w:t>     </w:t>
            </w:r>
            <w:r w:rsidRPr="00CF61BE">
              <w:rPr>
                <w:rStyle w:val="apple-converted-space"/>
                <w:rFonts w:ascii="Calibri Light" w:hAnsi="Calibri Light"/>
                <w:color w:val="000000"/>
                <w:sz w:val="21"/>
                <w:szCs w:val="21"/>
              </w:rPr>
              <w:t> </w:t>
            </w:r>
            <w:r w:rsidRPr="00CF61BE">
              <w:rPr>
                <w:rFonts w:ascii="Calibri Light" w:hAnsi="Calibri Light" w:cs="Arial"/>
                <w:color w:val="000000"/>
                <w:sz w:val="21"/>
                <w:szCs w:val="21"/>
              </w:rPr>
              <w:t>Patient on a therapeutic anticoagulation medication</w:t>
            </w:r>
          </w:p>
          <w:p w14:paraId="758A6EE2" w14:textId="77777777" w:rsidR="00CF61BE" w:rsidRPr="00CF61BE" w:rsidRDefault="00CF61BE" w:rsidP="00CF61BE">
            <w:pPr>
              <w:ind w:left="1080" w:hanging="360"/>
              <w:rPr>
                <w:rFonts w:ascii="Calibri Light" w:hAnsi="Calibri Light"/>
                <w:color w:val="000000"/>
                <w:sz w:val="21"/>
                <w:szCs w:val="21"/>
              </w:rPr>
            </w:pPr>
            <w:r w:rsidRPr="00CF61BE">
              <w:rPr>
                <w:rFonts w:ascii="Calibri Light" w:hAnsi="Calibri Light" w:cs="Arial"/>
                <w:color w:val="000000"/>
                <w:sz w:val="21"/>
                <w:szCs w:val="21"/>
              </w:rPr>
              <w:t>g.</w:t>
            </w:r>
            <w:r w:rsidRPr="00CF61BE">
              <w:rPr>
                <w:rFonts w:ascii="Calibri Light" w:hAnsi="Calibri Light"/>
                <w:color w:val="000000"/>
                <w:sz w:val="21"/>
                <w:szCs w:val="21"/>
              </w:rPr>
              <w:t>   </w:t>
            </w:r>
            <w:r w:rsidRPr="00CF61BE">
              <w:rPr>
                <w:rStyle w:val="apple-converted-space"/>
                <w:rFonts w:ascii="Calibri Light" w:hAnsi="Calibri Light"/>
                <w:color w:val="000000"/>
                <w:sz w:val="21"/>
                <w:szCs w:val="21"/>
              </w:rPr>
              <w:t> </w:t>
            </w:r>
            <w:r w:rsidRPr="00CF61BE">
              <w:rPr>
                <w:rFonts w:ascii="Calibri Light" w:hAnsi="Calibri Light" w:cs="Arial"/>
                <w:color w:val="000000"/>
                <w:sz w:val="21"/>
                <w:szCs w:val="21"/>
              </w:rPr>
              <w:t>All of the above</w:t>
            </w:r>
          </w:p>
          <w:p w14:paraId="6D18E28B" w14:textId="77777777" w:rsidR="00CF61BE" w:rsidRPr="006D1AFD" w:rsidRDefault="00CF61BE" w:rsidP="00CF61BE">
            <w:pPr>
              <w:ind w:left="-320"/>
              <w:rPr>
                <w:rFonts w:ascii="Calibri Light" w:hAnsi="Calibri Light"/>
                <w:color w:val="000000"/>
                <w:sz w:val="21"/>
                <w:szCs w:val="21"/>
              </w:rPr>
            </w:pPr>
          </w:p>
          <w:p w14:paraId="6EB7EEFF" w14:textId="4F4447AB" w:rsidR="00CF61BE" w:rsidRDefault="00CF61BE" w:rsidP="00CF61BE">
            <w:pPr>
              <w:ind w:left="360"/>
              <w:rPr>
                <w:rFonts w:ascii="Calibri" w:eastAsia="Times New Roman" w:hAnsi="Calibri" w:cs="Arial"/>
                <w:b/>
                <w:bCs/>
                <w:color w:val="000000"/>
                <w:sz w:val="21"/>
                <w:szCs w:val="21"/>
              </w:rPr>
            </w:pPr>
            <w:r>
              <w:rPr>
                <w:rFonts w:ascii="Calibri" w:eastAsia="Times New Roman" w:hAnsi="Calibri" w:cs="Arial"/>
                <w:b/>
                <w:bCs/>
                <w:color w:val="000000"/>
                <w:sz w:val="21"/>
                <w:szCs w:val="21"/>
              </w:rPr>
              <w:t xml:space="preserve">Answer: </w:t>
            </w:r>
            <w:r w:rsidRPr="00CF61BE">
              <w:rPr>
                <w:rFonts w:ascii="Calibri" w:eastAsia="Times New Roman" w:hAnsi="Calibri" w:cs="Arial"/>
                <w:bCs/>
                <w:color w:val="000000"/>
                <w:sz w:val="21"/>
                <w:szCs w:val="21"/>
              </w:rPr>
              <w:t>Patient education is required in the following instances:</w:t>
            </w:r>
            <w:r>
              <w:rPr>
                <w:rFonts w:ascii="Calibri" w:eastAsia="Times New Roman" w:hAnsi="Calibri" w:cs="Arial"/>
                <w:bCs/>
                <w:color w:val="000000"/>
                <w:sz w:val="21"/>
                <w:szCs w:val="21"/>
              </w:rPr>
              <w:t xml:space="preserve"> g. All of the above</w:t>
            </w:r>
            <w:r>
              <w:rPr>
                <w:rFonts w:ascii="Calibri" w:eastAsia="Times New Roman" w:hAnsi="Calibri" w:cs="Arial"/>
                <w:b/>
                <w:bCs/>
                <w:color w:val="000000"/>
                <w:sz w:val="21"/>
                <w:szCs w:val="21"/>
              </w:rPr>
              <w:t xml:space="preserve"> </w:t>
            </w:r>
          </w:p>
          <w:p w14:paraId="104D7CCC" w14:textId="5482F8D5" w:rsidR="006D1AFD" w:rsidRPr="006D1AFD" w:rsidRDefault="006D1AFD" w:rsidP="006D1AFD">
            <w:pPr>
              <w:rPr>
                <w:rFonts w:ascii="Calibri Light" w:eastAsia="Times New Roman" w:hAnsi="Calibri Light"/>
                <w:color w:val="000000"/>
                <w:sz w:val="21"/>
                <w:szCs w:val="21"/>
              </w:rPr>
            </w:pPr>
          </w:p>
          <w:p w14:paraId="3DAC742C" w14:textId="77777777" w:rsidR="004C7EA8" w:rsidRDefault="00CF61BE" w:rsidP="00CF61BE">
            <w:pPr>
              <w:ind w:left="360"/>
              <w:rPr>
                <w:rFonts w:ascii="Calibri" w:eastAsia="Times New Roman" w:hAnsi="Calibri" w:cs="Arial"/>
                <w:b/>
                <w:bCs/>
                <w:color w:val="000000"/>
                <w:sz w:val="21"/>
                <w:szCs w:val="21"/>
              </w:rPr>
            </w:pPr>
            <w:r>
              <w:rPr>
                <w:rFonts w:ascii="Calibri" w:eastAsia="Times New Roman" w:hAnsi="Calibri" w:cs="Arial"/>
                <w:b/>
                <w:bCs/>
                <w:color w:val="000000"/>
                <w:sz w:val="21"/>
                <w:szCs w:val="21"/>
              </w:rPr>
              <w:t>Quiz: When obtaining blood and other specimens from a patient, you must</w:t>
            </w:r>
          </w:p>
          <w:p w14:paraId="72B61A2C" w14:textId="77777777" w:rsidR="004C7EA8" w:rsidRPr="004C7EA8" w:rsidRDefault="004C7EA8" w:rsidP="004C7EA8">
            <w:pPr>
              <w:ind w:left="1080" w:hanging="360"/>
              <w:rPr>
                <w:rFonts w:ascii="Calibri Light" w:hAnsi="Calibri Light"/>
                <w:color w:val="000000"/>
                <w:sz w:val="21"/>
                <w:szCs w:val="21"/>
              </w:rPr>
            </w:pPr>
            <w:r w:rsidRPr="004C7EA8">
              <w:rPr>
                <w:rFonts w:ascii="Calibri Light" w:hAnsi="Calibri Light" w:cs="Arial"/>
                <w:color w:val="000000"/>
                <w:sz w:val="21"/>
                <w:szCs w:val="21"/>
              </w:rPr>
              <w:t>a.</w:t>
            </w:r>
            <w:r w:rsidRPr="004C7EA8">
              <w:rPr>
                <w:rFonts w:ascii="Calibri Light" w:hAnsi="Calibri Light"/>
                <w:color w:val="000000"/>
                <w:sz w:val="21"/>
                <w:szCs w:val="21"/>
              </w:rPr>
              <w:t>   </w:t>
            </w:r>
            <w:r w:rsidRPr="004C7EA8">
              <w:rPr>
                <w:rStyle w:val="apple-converted-space"/>
                <w:rFonts w:ascii="Calibri Light" w:hAnsi="Calibri Light"/>
                <w:color w:val="000000"/>
                <w:sz w:val="21"/>
                <w:szCs w:val="21"/>
              </w:rPr>
              <w:t> </w:t>
            </w:r>
            <w:r w:rsidRPr="004C7EA8">
              <w:rPr>
                <w:rFonts w:ascii="Calibri Light" w:hAnsi="Calibri Light" w:cs="Arial"/>
                <w:color w:val="000000"/>
                <w:sz w:val="21"/>
                <w:szCs w:val="21"/>
              </w:rPr>
              <w:t>Use two patient identifiers prior to the procedure</w:t>
            </w:r>
          </w:p>
          <w:p w14:paraId="4F170BE9" w14:textId="77777777" w:rsidR="004C7EA8" w:rsidRPr="004C7EA8" w:rsidRDefault="004C7EA8" w:rsidP="004C7EA8">
            <w:pPr>
              <w:ind w:left="1080" w:hanging="360"/>
              <w:rPr>
                <w:rFonts w:ascii="Calibri Light" w:hAnsi="Calibri Light"/>
                <w:color w:val="000000"/>
                <w:sz w:val="21"/>
                <w:szCs w:val="21"/>
              </w:rPr>
            </w:pPr>
            <w:r w:rsidRPr="004C7EA8">
              <w:rPr>
                <w:rFonts w:ascii="Calibri Light" w:hAnsi="Calibri Light" w:cs="Arial"/>
                <w:color w:val="000000"/>
                <w:sz w:val="21"/>
                <w:szCs w:val="21"/>
              </w:rPr>
              <w:t>b.</w:t>
            </w:r>
            <w:r w:rsidRPr="004C7EA8">
              <w:rPr>
                <w:rFonts w:ascii="Calibri Light" w:hAnsi="Calibri Light"/>
                <w:color w:val="000000"/>
                <w:sz w:val="21"/>
                <w:szCs w:val="21"/>
              </w:rPr>
              <w:t>   </w:t>
            </w:r>
            <w:r w:rsidRPr="004C7EA8">
              <w:rPr>
                <w:rStyle w:val="apple-converted-space"/>
                <w:rFonts w:ascii="Calibri Light" w:hAnsi="Calibri Light"/>
                <w:color w:val="000000"/>
                <w:sz w:val="21"/>
                <w:szCs w:val="21"/>
              </w:rPr>
              <w:t> </w:t>
            </w:r>
            <w:r w:rsidRPr="004C7EA8">
              <w:rPr>
                <w:rFonts w:ascii="Calibri Light" w:hAnsi="Calibri Light" w:cs="Arial"/>
                <w:color w:val="000000"/>
                <w:sz w:val="21"/>
                <w:szCs w:val="21"/>
              </w:rPr>
              <w:t>Label the containers in the presence of the patient</w:t>
            </w:r>
          </w:p>
          <w:p w14:paraId="4230C249" w14:textId="77777777" w:rsidR="004C7EA8" w:rsidRPr="004C7EA8" w:rsidRDefault="004C7EA8" w:rsidP="004C7EA8">
            <w:pPr>
              <w:ind w:left="1080" w:hanging="360"/>
              <w:rPr>
                <w:rFonts w:ascii="Calibri Light" w:hAnsi="Calibri Light"/>
                <w:color w:val="000000"/>
                <w:sz w:val="21"/>
                <w:szCs w:val="21"/>
              </w:rPr>
            </w:pPr>
            <w:r w:rsidRPr="004C7EA8">
              <w:rPr>
                <w:rFonts w:ascii="Calibri Light" w:hAnsi="Calibri Light" w:cs="Arial"/>
                <w:color w:val="000000"/>
                <w:sz w:val="21"/>
                <w:szCs w:val="21"/>
              </w:rPr>
              <w:t>c.</w:t>
            </w:r>
            <w:r w:rsidRPr="004C7EA8">
              <w:rPr>
                <w:rFonts w:ascii="Calibri Light" w:hAnsi="Calibri Light"/>
                <w:color w:val="000000"/>
                <w:sz w:val="21"/>
                <w:szCs w:val="21"/>
              </w:rPr>
              <w:t>   </w:t>
            </w:r>
            <w:r w:rsidRPr="004C7EA8">
              <w:rPr>
                <w:rStyle w:val="apple-converted-space"/>
                <w:rFonts w:ascii="Calibri Light" w:hAnsi="Calibri Light"/>
                <w:color w:val="000000"/>
                <w:sz w:val="21"/>
                <w:szCs w:val="21"/>
              </w:rPr>
              <w:t> </w:t>
            </w:r>
            <w:r w:rsidRPr="004C7EA8">
              <w:rPr>
                <w:rFonts w:ascii="Calibri Light" w:hAnsi="Calibri Light" w:cs="Arial"/>
                <w:color w:val="000000"/>
                <w:sz w:val="21"/>
                <w:szCs w:val="21"/>
              </w:rPr>
              <w:t>Do both a and b</w:t>
            </w:r>
          </w:p>
          <w:p w14:paraId="639A3FC9" w14:textId="77777777" w:rsidR="004C7EA8" w:rsidRPr="004C7EA8" w:rsidRDefault="004C7EA8" w:rsidP="004C7EA8">
            <w:pPr>
              <w:ind w:left="1080" w:hanging="360"/>
              <w:rPr>
                <w:rFonts w:ascii="Calibri Light" w:hAnsi="Calibri Light"/>
                <w:color w:val="000000"/>
                <w:sz w:val="21"/>
                <w:szCs w:val="21"/>
              </w:rPr>
            </w:pPr>
            <w:r w:rsidRPr="004C7EA8">
              <w:rPr>
                <w:rFonts w:ascii="Calibri Light" w:hAnsi="Calibri Light" w:cs="Arial"/>
                <w:color w:val="000000"/>
                <w:sz w:val="21"/>
                <w:szCs w:val="21"/>
              </w:rPr>
              <w:t>d.</w:t>
            </w:r>
            <w:r w:rsidRPr="004C7EA8">
              <w:rPr>
                <w:rFonts w:ascii="Calibri Light" w:hAnsi="Calibri Light"/>
                <w:color w:val="000000"/>
                <w:sz w:val="21"/>
                <w:szCs w:val="21"/>
              </w:rPr>
              <w:t>   </w:t>
            </w:r>
            <w:r w:rsidRPr="004C7EA8">
              <w:rPr>
                <w:rStyle w:val="apple-converted-space"/>
                <w:rFonts w:ascii="Calibri Light" w:hAnsi="Calibri Light"/>
                <w:color w:val="000000"/>
                <w:sz w:val="21"/>
                <w:szCs w:val="21"/>
              </w:rPr>
              <w:t> </w:t>
            </w:r>
            <w:r w:rsidRPr="004C7EA8">
              <w:rPr>
                <w:rFonts w:ascii="Calibri Light" w:hAnsi="Calibri Light" w:cs="Arial"/>
                <w:color w:val="000000"/>
                <w:sz w:val="21"/>
                <w:szCs w:val="21"/>
              </w:rPr>
              <w:t>Do none of the above</w:t>
            </w:r>
          </w:p>
          <w:p w14:paraId="7448E9C6" w14:textId="5C3A57DB" w:rsidR="004C7EA8" w:rsidRDefault="004C7EA8" w:rsidP="004C7EA8">
            <w:pPr>
              <w:ind w:left="360"/>
              <w:rPr>
                <w:rFonts w:ascii="Calibri" w:eastAsia="Times New Roman" w:hAnsi="Calibri" w:cs="Arial"/>
                <w:b/>
                <w:bCs/>
                <w:color w:val="000000"/>
                <w:sz w:val="21"/>
                <w:szCs w:val="21"/>
              </w:rPr>
            </w:pPr>
            <w:r>
              <w:rPr>
                <w:rFonts w:ascii="Calibri" w:eastAsia="Times New Roman" w:hAnsi="Calibri" w:cs="Arial"/>
                <w:b/>
                <w:bCs/>
                <w:color w:val="000000"/>
                <w:sz w:val="21"/>
                <w:szCs w:val="21"/>
              </w:rPr>
              <w:t xml:space="preserve">Answer: </w:t>
            </w:r>
            <w:r>
              <w:rPr>
                <w:rFonts w:ascii="Calibri" w:eastAsia="Times New Roman" w:hAnsi="Calibri" w:cs="Arial"/>
                <w:bCs/>
                <w:color w:val="000000"/>
                <w:sz w:val="21"/>
                <w:szCs w:val="21"/>
              </w:rPr>
              <w:t>When obtaining blood and other specimens from a patient, you must</w:t>
            </w:r>
            <w:r w:rsidRPr="00CF61BE">
              <w:rPr>
                <w:rFonts w:ascii="Calibri" w:eastAsia="Times New Roman" w:hAnsi="Calibri" w:cs="Arial"/>
                <w:bCs/>
                <w:color w:val="000000"/>
                <w:sz w:val="21"/>
                <w:szCs w:val="21"/>
              </w:rPr>
              <w:t>:</w:t>
            </w:r>
            <w:r>
              <w:rPr>
                <w:rFonts w:ascii="Calibri" w:eastAsia="Times New Roman" w:hAnsi="Calibri" w:cs="Arial"/>
                <w:bCs/>
                <w:color w:val="000000"/>
                <w:sz w:val="21"/>
                <w:szCs w:val="21"/>
              </w:rPr>
              <w:t xml:space="preserve"> c. Do both a and b</w:t>
            </w:r>
            <w:r>
              <w:rPr>
                <w:rFonts w:ascii="Calibri" w:eastAsia="Times New Roman" w:hAnsi="Calibri" w:cs="Arial"/>
                <w:b/>
                <w:bCs/>
                <w:color w:val="000000"/>
                <w:sz w:val="21"/>
                <w:szCs w:val="21"/>
              </w:rPr>
              <w:t xml:space="preserve"> </w:t>
            </w:r>
          </w:p>
          <w:p w14:paraId="18380013" w14:textId="10BB0B88" w:rsidR="00212AAF" w:rsidRPr="00CF61BE" w:rsidRDefault="00212AAF" w:rsidP="00CF61BE">
            <w:pPr>
              <w:ind w:left="360"/>
              <w:rPr>
                <w:rFonts w:eastAsia="Times New Roman"/>
              </w:rPr>
            </w:pPr>
          </w:p>
        </w:tc>
      </w:tr>
      <w:tr w:rsidR="00212AAF" w14:paraId="09FE0D10"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4"/>
        </w:trPr>
        <w:tc>
          <w:tcPr>
            <w:tcW w:w="5153" w:type="dxa"/>
            <w:gridSpan w:val="3"/>
            <w:vMerge/>
            <w:tcBorders>
              <w:left w:val="single" w:sz="8" w:space="0" w:color="auto"/>
              <w:right w:val="single" w:sz="4" w:space="0" w:color="auto"/>
            </w:tcBorders>
          </w:tcPr>
          <w:p w14:paraId="19B7FFF7" w14:textId="77777777" w:rsidR="00212AAF" w:rsidRDefault="00212AAF"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77777777" w:rsidR="00CF61BE" w:rsidRDefault="00212AAF" w:rsidP="00CF61BE">
            <w:pPr>
              <w:rPr>
                <w:rFonts w:eastAsia="Times New Roman"/>
              </w:rPr>
            </w:pPr>
            <w:r>
              <w:rPr>
                <w:rFonts w:asciiTheme="majorHAnsi" w:hAnsiTheme="majorHAnsi"/>
                <w:b/>
                <w:color w:val="FF0000"/>
                <w:sz w:val="28"/>
              </w:rPr>
              <w:t>DID YOU KNOW?</w:t>
            </w:r>
            <w:r>
              <w:br/>
            </w:r>
            <w:r w:rsidR="00CF61BE" w:rsidRPr="00CF61BE">
              <w:rPr>
                <w:rFonts w:ascii="Calibri Light" w:hAnsi="Calibri Light"/>
                <w:sz w:val="21"/>
                <w:szCs w:val="21"/>
              </w:rPr>
              <w:t>In 2017, UTMB’s primary web domain </w:t>
            </w:r>
            <w:hyperlink r:id="rId26" w:history="1">
              <w:r w:rsidR="00CF61BE" w:rsidRPr="00CF61BE">
                <w:rPr>
                  <w:rFonts w:ascii="Calibri Light" w:hAnsi="Calibri Light"/>
                  <w:color w:val="FF0000"/>
                  <w:sz w:val="21"/>
                  <w:szCs w:val="21"/>
                </w:rPr>
                <w:t>www.utmb.edu</w:t>
              </w:r>
            </w:hyperlink>
            <w:r w:rsidR="00CF61BE" w:rsidRPr="00CF61BE">
              <w:rPr>
                <w:rFonts w:ascii="Calibri Light" w:hAnsi="Calibri Light"/>
                <w:sz w:val="21"/>
                <w:szCs w:val="21"/>
              </w:rPr>
              <w:t xml:space="preserve"> averaged just under a million visits (sessions) a month, with more than 29 million page views. Our workforce represents a significant portion of that traffic, so not surprisingly, 85 percent of visitors are using a desktop PC. The most common browser was Internet Explorer (57 percent), with Chrome the next most popular choice (23 percent). The most visited page in 2017? </w:t>
            </w:r>
            <w:proofErr w:type="spellStart"/>
            <w:proofErr w:type="gramStart"/>
            <w:r w:rsidR="00CF61BE" w:rsidRPr="00CF61BE">
              <w:rPr>
                <w:rFonts w:ascii="Calibri Light" w:hAnsi="Calibri Light"/>
                <w:sz w:val="21"/>
                <w:szCs w:val="21"/>
              </w:rPr>
              <w:t>iUTMB</w:t>
            </w:r>
            <w:proofErr w:type="spellEnd"/>
            <w:proofErr w:type="gramEnd"/>
            <w:r w:rsidR="00CF61BE" w:rsidRPr="00CF61BE">
              <w:rPr>
                <w:rFonts w:ascii="Calibri Light" w:hAnsi="Calibri Light"/>
                <w:sz w:val="21"/>
                <w:szCs w:val="21"/>
              </w:rPr>
              <w:t>, with more than 20 percent of total traffic.</w:t>
            </w:r>
          </w:p>
          <w:p w14:paraId="29F3D34D" w14:textId="76A57ACF" w:rsidR="00212AAF" w:rsidRPr="00925479" w:rsidRDefault="00212AAF" w:rsidP="00231DD0">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E4E66" w14:textId="77777777" w:rsidR="00C53E9B" w:rsidRDefault="00C53E9B" w:rsidP="00874B86">
      <w:r>
        <w:separator/>
      </w:r>
    </w:p>
  </w:endnote>
  <w:endnote w:type="continuationSeparator" w:id="0">
    <w:p w14:paraId="670086F6" w14:textId="77777777" w:rsidR="00C53E9B" w:rsidRDefault="00C53E9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F4FC0" w14:textId="77777777" w:rsidR="00C53E9B" w:rsidRDefault="00C53E9B" w:rsidP="00874B86">
      <w:r>
        <w:separator/>
      </w:r>
    </w:p>
  </w:footnote>
  <w:footnote w:type="continuationSeparator" w:id="0">
    <w:p w14:paraId="6E37568F" w14:textId="77777777" w:rsidR="00C53E9B" w:rsidRDefault="00C53E9B"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9669D4">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5EA"/>
    <w:multiLevelType w:val="hybridMultilevel"/>
    <w:tmpl w:val="6E727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393261"/>
    <w:multiLevelType w:val="hybridMultilevel"/>
    <w:tmpl w:val="DC2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FE02AB"/>
    <w:multiLevelType w:val="multilevel"/>
    <w:tmpl w:val="09E8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CF13D7"/>
    <w:multiLevelType w:val="multilevel"/>
    <w:tmpl w:val="9952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30C2396"/>
    <w:multiLevelType w:val="hybridMultilevel"/>
    <w:tmpl w:val="B71A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CFF44BD"/>
    <w:multiLevelType w:val="hybridMultilevel"/>
    <w:tmpl w:val="A92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2431B1"/>
    <w:multiLevelType w:val="multilevel"/>
    <w:tmpl w:val="4238B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D05713"/>
    <w:multiLevelType w:val="multilevel"/>
    <w:tmpl w:val="6F0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7C5ACC"/>
    <w:multiLevelType w:val="hybridMultilevel"/>
    <w:tmpl w:val="48BCEC2A"/>
    <w:lvl w:ilvl="0" w:tplc="BC0CCD9C">
      <w:start w:val="1"/>
      <w:numFmt w:val="decimal"/>
      <w:lvlText w:val="%1."/>
      <w:lvlJc w:val="left"/>
      <w:pPr>
        <w:ind w:left="720" w:hanging="360"/>
      </w:pPr>
      <w:rPr>
        <w:rFonts w:ascii="Calibri" w:hAnsi="Calibri"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B8753F"/>
    <w:multiLevelType w:val="hybridMultilevel"/>
    <w:tmpl w:val="43B6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B53732"/>
    <w:multiLevelType w:val="hybridMultilevel"/>
    <w:tmpl w:val="7DD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F307E7"/>
    <w:multiLevelType w:val="hybridMultilevel"/>
    <w:tmpl w:val="8DF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044CC3"/>
    <w:multiLevelType w:val="hybridMultilevel"/>
    <w:tmpl w:val="54940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9FA66A1"/>
    <w:multiLevelType w:val="multilevel"/>
    <w:tmpl w:val="F0360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1D4A63"/>
    <w:multiLevelType w:val="multilevel"/>
    <w:tmpl w:val="0FE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6">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8F0A51"/>
    <w:multiLevelType w:val="multilevel"/>
    <w:tmpl w:val="F2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4"/>
  </w:num>
  <w:num w:numId="3">
    <w:abstractNumId w:val="38"/>
  </w:num>
  <w:num w:numId="4">
    <w:abstractNumId w:val="7"/>
  </w:num>
  <w:num w:numId="5">
    <w:abstractNumId w:val="2"/>
  </w:num>
  <w:num w:numId="6">
    <w:abstractNumId w:val="3"/>
  </w:num>
  <w:num w:numId="7">
    <w:abstractNumId w:val="35"/>
  </w:num>
  <w:num w:numId="8">
    <w:abstractNumId w:val="12"/>
  </w:num>
  <w:num w:numId="9">
    <w:abstractNumId w:val="1"/>
  </w:num>
  <w:num w:numId="10">
    <w:abstractNumId w:val="5"/>
  </w:num>
  <w:num w:numId="11">
    <w:abstractNumId w:val="18"/>
  </w:num>
  <w:num w:numId="12">
    <w:abstractNumId w:val="4"/>
  </w:num>
  <w:num w:numId="13">
    <w:abstractNumId w:val="33"/>
  </w:num>
  <w:num w:numId="14">
    <w:abstractNumId w:val="28"/>
  </w:num>
  <w:num w:numId="15">
    <w:abstractNumId w:val="9"/>
  </w:num>
  <w:num w:numId="16">
    <w:abstractNumId w:val="36"/>
  </w:num>
  <w:num w:numId="17">
    <w:abstractNumId w:val="15"/>
  </w:num>
  <w:num w:numId="18">
    <w:abstractNumId w:val="27"/>
  </w:num>
  <w:num w:numId="19">
    <w:abstractNumId w:val="39"/>
  </w:num>
  <w:num w:numId="20">
    <w:abstractNumId w:val="19"/>
  </w:num>
  <w:num w:numId="21">
    <w:abstractNumId w:val="10"/>
  </w:num>
  <w:num w:numId="22">
    <w:abstractNumId w:val="17"/>
  </w:num>
  <w:num w:numId="23">
    <w:abstractNumId w:val="30"/>
  </w:num>
  <w:num w:numId="24">
    <w:abstractNumId w:val="8"/>
  </w:num>
  <w:num w:numId="25">
    <w:abstractNumId w:val="37"/>
  </w:num>
  <w:num w:numId="26">
    <w:abstractNumId w:val="20"/>
  </w:num>
  <w:num w:numId="27">
    <w:abstractNumId w:val="29"/>
  </w:num>
  <w:num w:numId="28">
    <w:abstractNumId w:val="26"/>
  </w:num>
  <w:num w:numId="29">
    <w:abstractNumId w:val="25"/>
  </w:num>
  <w:num w:numId="30">
    <w:abstractNumId w:val="34"/>
  </w:num>
  <w:num w:numId="31">
    <w:abstractNumId w:val="32"/>
  </w:num>
  <w:num w:numId="32">
    <w:abstractNumId w:val="21"/>
  </w:num>
  <w:num w:numId="33">
    <w:abstractNumId w:val="6"/>
  </w:num>
  <w:num w:numId="34">
    <w:abstractNumId w:val="23"/>
  </w:num>
  <w:num w:numId="35">
    <w:abstractNumId w:val="14"/>
  </w:num>
  <w:num w:numId="36">
    <w:abstractNumId w:val="13"/>
  </w:num>
  <w:num w:numId="37">
    <w:abstractNumId w:val="31"/>
  </w:num>
  <w:num w:numId="38">
    <w:abstractNumId w:val="0"/>
  </w:num>
  <w:num w:numId="39">
    <w:abstractNumId w:val="22"/>
  </w:num>
  <w:num w:numId="4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1AFD"/>
    <w:rsid w:val="006D30D7"/>
    <w:rsid w:val="006E1D9C"/>
    <w:rsid w:val="006E6A62"/>
    <w:rsid w:val="006F28BD"/>
    <w:rsid w:val="006F5026"/>
    <w:rsid w:val="006F56B1"/>
    <w:rsid w:val="006F7641"/>
    <w:rsid w:val="00701024"/>
    <w:rsid w:val="007021E5"/>
    <w:rsid w:val="007073E8"/>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669D4"/>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A8"/>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22009112">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68557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hyperlink" Target="mailto:hrservic@utmb.edu" TargetMode="External"/><Relationship Id="rId26" Type="http://schemas.openxmlformats.org/officeDocument/2006/relationships/hyperlink" Target="http://www.utmb.edu/"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utmb.us/2i4"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mytaxform.com/"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roea" TargetMode="External"/><Relationship Id="rId5" Type="http://schemas.openxmlformats.org/officeDocument/2006/relationships/webSettings" Target="webSettings.xml"/><Relationship Id="rId15" Type="http://schemas.openxmlformats.org/officeDocument/2006/relationships/hyperlink" Target="mailto:payroll.services@utmb.edu" TargetMode="External"/><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utmb.edu/townhall/"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hcm/hcm_redirect.asp?strApplication=employee%20self%20service" TargetMode="External"/><Relationship Id="rId22" Type="http://schemas.openxmlformats.org/officeDocument/2006/relationships/image" Target="media/image7.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E15D3-7491-4276-AD52-E4248BBF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2018-01-11T17:31:00Z</cp:lastPrinted>
  <dcterms:created xsi:type="dcterms:W3CDTF">2018-01-23T20:00:00Z</dcterms:created>
  <dcterms:modified xsi:type="dcterms:W3CDTF">2018-01-23T20:00:00Z</dcterms:modified>
</cp:coreProperties>
</file>