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35406"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6730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86181A" w:rsidR="009C2829" w:rsidRPr="000257FB" w:rsidRDefault="00EF4261" w:rsidP="007073E8">
            <w:pPr>
              <w:pStyle w:val="Header"/>
              <w:jc w:val="center"/>
              <w:rPr>
                <w:rFonts w:asciiTheme="majorHAnsi" w:hAnsiTheme="majorHAnsi"/>
                <w:b/>
              </w:rPr>
            </w:pPr>
            <w:r>
              <w:rPr>
                <w:rFonts w:asciiTheme="majorHAnsi" w:hAnsiTheme="majorHAnsi"/>
                <w:b/>
                <w:sz w:val="22"/>
              </w:rPr>
              <w:t>Feb. 27</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086C8" w14:textId="77777777" w:rsidR="0006730C" w:rsidRPr="0006730C" w:rsidRDefault="0006730C" w:rsidP="003930CE">
            <w:pPr>
              <w:jc w:val="center"/>
              <w:rPr>
                <w:sz w:val="16"/>
                <w:szCs w:val="16"/>
              </w:rPr>
            </w:pPr>
          </w:p>
          <w:p w14:paraId="133FB0CF" w14:textId="45357F46" w:rsidR="003930CE" w:rsidRDefault="003930CE" w:rsidP="003930CE">
            <w:pPr>
              <w:jc w:val="center"/>
              <w:rPr>
                <w:sz w:val="28"/>
                <w:szCs w:val="28"/>
              </w:rPr>
            </w:pPr>
            <w:r w:rsidRPr="003663FF">
              <w:rPr>
                <w:sz w:val="28"/>
                <w:szCs w:val="28"/>
              </w:rPr>
              <w:t xml:space="preserve">St. Vincent’s Student Clinic </w:t>
            </w:r>
          </w:p>
          <w:p w14:paraId="0D6EBF62" w14:textId="77777777" w:rsidR="003930CE" w:rsidRPr="003663FF" w:rsidRDefault="003930CE" w:rsidP="003930CE">
            <w:pPr>
              <w:jc w:val="center"/>
              <w:rPr>
                <w:sz w:val="28"/>
                <w:szCs w:val="28"/>
              </w:rPr>
            </w:pPr>
            <w:r w:rsidRPr="003663FF">
              <w:rPr>
                <w:sz w:val="28"/>
                <w:szCs w:val="28"/>
              </w:rPr>
              <w:t>Annual Benefit Concert</w:t>
            </w:r>
          </w:p>
          <w:p w14:paraId="6CB0BF55" w14:textId="53830FF3" w:rsidR="003930CE" w:rsidRPr="003663FF" w:rsidRDefault="003930CE" w:rsidP="003930CE">
            <w:pPr>
              <w:jc w:val="center"/>
              <w:rPr>
                <w:sz w:val="28"/>
                <w:szCs w:val="28"/>
                <w:vertAlign w:val="superscript"/>
              </w:rPr>
            </w:pPr>
            <w:r w:rsidRPr="003663FF">
              <w:rPr>
                <w:sz w:val="28"/>
                <w:szCs w:val="28"/>
              </w:rPr>
              <w:t xml:space="preserve">Is taking place Thursday March </w:t>
            </w:r>
            <w:r w:rsidR="00F35406">
              <w:rPr>
                <w:sz w:val="28"/>
                <w:szCs w:val="28"/>
              </w:rPr>
              <w:t>5</w:t>
            </w:r>
            <w:bookmarkStart w:id="0" w:name="_GoBack"/>
            <w:bookmarkEnd w:id="0"/>
            <w:r w:rsidRPr="003663FF">
              <w:rPr>
                <w:sz w:val="28"/>
                <w:szCs w:val="28"/>
                <w:vertAlign w:val="superscript"/>
              </w:rPr>
              <w:t>th</w:t>
            </w:r>
          </w:p>
          <w:p w14:paraId="53A90A93" w14:textId="77777777" w:rsidR="003930CE" w:rsidRPr="003663FF" w:rsidRDefault="003930CE" w:rsidP="003930CE">
            <w:pPr>
              <w:jc w:val="center"/>
              <w:rPr>
                <w:sz w:val="28"/>
                <w:szCs w:val="28"/>
              </w:rPr>
            </w:pPr>
            <w:r w:rsidRPr="003663FF">
              <w:rPr>
                <w:sz w:val="28"/>
                <w:szCs w:val="28"/>
              </w:rPr>
              <w:t>The Grand 1894 Opera House</w:t>
            </w:r>
          </w:p>
          <w:p w14:paraId="17079C6C" w14:textId="77777777" w:rsidR="003930CE" w:rsidRPr="003663FF" w:rsidRDefault="003930CE" w:rsidP="003930CE">
            <w:pPr>
              <w:jc w:val="center"/>
              <w:rPr>
                <w:sz w:val="28"/>
                <w:szCs w:val="28"/>
              </w:rPr>
            </w:pPr>
            <w:r w:rsidRPr="003663FF">
              <w:rPr>
                <w:sz w:val="28"/>
                <w:szCs w:val="28"/>
              </w:rPr>
              <w:t>7-9 PM</w:t>
            </w:r>
          </w:p>
          <w:p w14:paraId="1A0887BF" w14:textId="77777777" w:rsidR="003930CE" w:rsidRDefault="003930CE" w:rsidP="003930CE">
            <w:pPr>
              <w:jc w:val="center"/>
            </w:pPr>
            <w:r w:rsidRPr="003663FF">
              <w:t>Silent Auction &amp; Talent Show</w:t>
            </w:r>
          </w:p>
          <w:p w14:paraId="544C59D1" w14:textId="77777777" w:rsidR="003930CE" w:rsidRPr="007230AC" w:rsidRDefault="003930CE" w:rsidP="003930CE">
            <w:pPr>
              <w:jc w:val="center"/>
              <w:rPr>
                <w:sz w:val="16"/>
                <w:szCs w:val="16"/>
              </w:rPr>
            </w:pPr>
          </w:p>
          <w:p w14:paraId="07D1B5FF" w14:textId="765B1056" w:rsidR="003930CE" w:rsidRDefault="0006730C" w:rsidP="003930CE">
            <w:pPr>
              <w:rPr>
                <w:sz w:val="18"/>
                <w:szCs w:val="18"/>
              </w:rPr>
            </w:pPr>
            <w:r>
              <w:t>$10 t</w:t>
            </w:r>
            <w:r w:rsidR="003930CE" w:rsidRPr="003663FF">
              <w:t xml:space="preserve">ickets can be purchased at this link: </w:t>
            </w:r>
            <w:hyperlink r:id="rId16" w:history="1">
              <w:r w:rsidR="003930CE" w:rsidRPr="007230AC">
                <w:rPr>
                  <w:rStyle w:val="Hyperlink"/>
                  <w:sz w:val="18"/>
                  <w:szCs w:val="18"/>
                </w:rPr>
                <w:t>http://stvsc.org/index.php/Events?fbclid=IwAR0NFgVjWodwsPPY0mHceRhDZhODHOSzDbCgJFHYFeCk6pdB0uw0lqHRe1E</w:t>
              </w:r>
            </w:hyperlink>
          </w:p>
          <w:p w14:paraId="2C0DCDF8" w14:textId="77777777" w:rsidR="003930CE" w:rsidRPr="0006730C" w:rsidRDefault="003930CE" w:rsidP="003930CE">
            <w:pPr>
              <w:rPr>
                <w:rFonts w:ascii="Tahoma" w:hAnsi="Tahoma" w:cs="Tahoma"/>
                <w:b/>
                <w:bCs/>
                <w:noProof/>
                <w:color w:val="984806" w:themeColor="accent6" w:themeShade="80"/>
                <w:sz w:val="16"/>
                <w:szCs w:val="16"/>
                <w:u w:val="single"/>
              </w:rPr>
            </w:pPr>
          </w:p>
          <w:p w14:paraId="07ED92FF" w14:textId="170A7907" w:rsidR="00936B3A" w:rsidRPr="00FB7469" w:rsidRDefault="00FB7469" w:rsidP="008B6179">
            <w:pPr>
              <w:rPr>
                <w:rFonts w:ascii="Tahoma" w:hAnsi="Tahoma" w:cs="Tahoma"/>
                <w:b/>
                <w:bCs/>
                <w:noProof/>
                <w:color w:val="984806" w:themeColor="accent6" w:themeShade="80"/>
                <w:sz w:val="20"/>
                <w:u w:val="single"/>
              </w:rPr>
            </w:pPr>
            <w:r w:rsidRPr="00FB7469">
              <w:rPr>
                <w:rFonts w:ascii="Tahoma" w:hAnsi="Tahoma" w:cs="Tahoma"/>
                <w:b/>
                <w:bCs/>
                <w:noProof/>
                <w:color w:val="984806" w:themeColor="accent6" w:themeShade="80"/>
                <w:sz w:val="20"/>
                <w:u w:val="single"/>
              </w:rPr>
              <w:t>Office of Educational Development</w:t>
            </w:r>
          </w:p>
          <w:p w14:paraId="18ED1EBC" w14:textId="77777777" w:rsidR="00FB7469" w:rsidRPr="00FB7469" w:rsidRDefault="00FB7469" w:rsidP="00FB7469">
            <w:pPr>
              <w:rPr>
                <w:rFonts w:ascii="Arial" w:hAnsi="Arial" w:cs="Arial"/>
                <w:b/>
                <w:bCs/>
                <w:sz w:val="20"/>
                <w:szCs w:val="20"/>
              </w:rPr>
            </w:pPr>
            <w:r w:rsidRPr="00FB7469">
              <w:rPr>
                <w:rFonts w:ascii="Arial" w:hAnsi="Arial" w:cs="Arial"/>
                <w:b/>
                <w:bCs/>
                <w:sz w:val="20"/>
                <w:szCs w:val="20"/>
              </w:rPr>
              <w:t>TED Masterclass</w:t>
            </w:r>
          </w:p>
          <w:p w14:paraId="5BC0C47F" w14:textId="77777777" w:rsidR="00FB7469" w:rsidRPr="00FB7469" w:rsidRDefault="00FB7469" w:rsidP="00FB7469">
            <w:pPr>
              <w:rPr>
                <w:rFonts w:ascii="Arial" w:hAnsi="Arial" w:cs="Arial"/>
                <w:b/>
                <w:bCs/>
                <w:sz w:val="20"/>
                <w:szCs w:val="20"/>
              </w:rPr>
            </w:pPr>
            <w:r w:rsidRPr="00FB7469">
              <w:rPr>
                <w:rFonts w:ascii="Arial" w:hAnsi="Arial" w:cs="Arial"/>
                <w:b/>
                <w:bCs/>
                <w:sz w:val="20"/>
                <w:szCs w:val="20"/>
              </w:rPr>
              <w:t>A 5-month Faculty Development Program</w:t>
            </w:r>
          </w:p>
          <w:p w14:paraId="0D3F30CE" w14:textId="77777777" w:rsidR="00FB7469" w:rsidRPr="00FB7469" w:rsidRDefault="00FB7469" w:rsidP="00FB7469">
            <w:pPr>
              <w:rPr>
                <w:rFonts w:ascii="Arial" w:hAnsi="Arial" w:cs="Arial"/>
                <w:sz w:val="16"/>
                <w:szCs w:val="16"/>
              </w:rPr>
            </w:pPr>
          </w:p>
          <w:p w14:paraId="4C3FFB31" w14:textId="77777777" w:rsidR="00FB7469" w:rsidRPr="00FB7469" w:rsidRDefault="00FB7469" w:rsidP="00FB7469">
            <w:pPr>
              <w:rPr>
                <w:rFonts w:ascii="Arial" w:hAnsi="Arial" w:cs="Arial"/>
                <w:sz w:val="20"/>
                <w:szCs w:val="20"/>
              </w:rPr>
            </w:pPr>
            <w:r w:rsidRPr="00FB7469">
              <w:rPr>
                <w:rFonts w:ascii="Arial" w:hAnsi="Arial" w:cs="Arial"/>
                <w:b/>
                <w:bCs/>
                <w:sz w:val="20"/>
                <w:szCs w:val="20"/>
              </w:rPr>
              <w:t>Informational Sessions</w:t>
            </w:r>
            <w:r w:rsidRPr="00FB7469">
              <w:rPr>
                <w:rFonts w:ascii="Arial" w:hAnsi="Arial" w:cs="Arial"/>
                <w:sz w:val="20"/>
                <w:szCs w:val="20"/>
              </w:rPr>
              <w:t xml:space="preserve"> are scheduled</w:t>
            </w:r>
          </w:p>
          <w:p w14:paraId="4D947505" w14:textId="77777777" w:rsidR="00FB7469" w:rsidRPr="00FB7469" w:rsidRDefault="00FB7469" w:rsidP="00FB7469">
            <w:pPr>
              <w:rPr>
                <w:rFonts w:ascii="Arial" w:hAnsi="Arial" w:cs="Arial"/>
                <w:sz w:val="20"/>
                <w:szCs w:val="20"/>
              </w:rPr>
            </w:pPr>
            <w:r w:rsidRPr="00FB7469">
              <w:rPr>
                <w:rFonts w:ascii="Arial" w:hAnsi="Arial" w:cs="Arial"/>
                <w:b/>
                <w:bCs/>
                <w:sz w:val="20"/>
                <w:szCs w:val="20"/>
              </w:rPr>
              <w:t>March 5</w:t>
            </w:r>
            <w:r w:rsidRPr="00FB7469">
              <w:rPr>
                <w:rFonts w:ascii="Arial" w:hAnsi="Arial" w:cs="Arial"/>
                <w:b/>
                <w:bCs/>
                <w:sz w:val="20"/>
                <w:szCs w:val="20"/>
                <w:vertAlign w:val="superscript"/>
              </w:rPr>
              <w:t>th</w:t>
            </w:r>
            <w:r w:rsidRPr="00FB7469">
              <w:rPr>
                <w:rFonts w:ascii="Arial" w:hAnsi="Arial" w:cs="Arial"/>
                <w:sz w:val="20"/>
                <w:szCs w:val="20"/>
              </w:rPr>
              <w:t xml:space="preserve"> between 12-1  or 4:30 – 5:30 pm</w:t>
            </w:r>
          </w:p>
          <w:p w14:paraId="535A2213" w14:textId="77777777" w:rsidR="00FB7469" w:rsidRPr="00FB7469" w:rsidRDefault="00FB7469" w:rsidP="00FB7469">
            <w:pPr>
              <w:rPr>
                <w:rFonts w:ascii="Arial" w:hAnsi="Arial" w:cs="Arial"/>
                <w:sz w:val="20"/>
                <w:szCs w:val="20"/>
              </w:rPr>
            </w:pPr>
            <w:r w:rsidRPr="00FB7469">
              <w:rPr>
                <w:rFonts w:ascii="Arial" w:hAnsi="Arial" w:cs="Arial"/>
                <w:b/>
                <w:bCs/>
                <w:sz w:val="20"/>
                <w:szCs w:val="20"/>
              </w:rPr>
              <w:t>Location:</w:t>
            </w:r>
            <w:r w:rsidRPr="00FB7469">
              <w:rPr>
                <w:rFonts w:ascii="Arial" w:hAnsi="Arial" w:cs="Arial"/>
                <w:sz w:val="20"/>
                <w:szCs w:val="20"/>
              </w:rPr>
              <w:t xml:space="preserve"> Mary Moody Northern Bldg.   Room 1.102</w:t>
            </w:r>
          </w:p>
          <w:p w14:paraId="43DA03E6" w14:textId="77777777" w:rsidR="00FB7469" w:rsidRPr="00FB7469" w:rsidRDefault="00FB7469" w:rsidP="00FB7469">
            <w:pPr>
              <w:rPr>
                <w:rFonts w:ascii="Arial" w:hAnsi="Arial" w:cs="Arial"/>
                <w:sz w:val="16"/>
                <w:szCs w:val="16"/>
              </w:rPr>
            </w:pPr>
          </w:p>
          <w:p w14:paraId="1DD475F5" w14:textId="77777777" w:rsidR="00FB7469" w:rsidRPr="00FB7469" w:rsidRDefault="00FB7469" w:rsidP="00FB7469">
            <w:pPr>
              <w:rPr>
                <w:rFonts w:ascii="Calibri" w:hAnsi="Calibri" w:cs="Calibri"/>
                <w:sz w:val="20"/>
                <w:szCs w:val="20"/>
              </w:rPr>
            </w:pPr>
            <w:r w:rsidRPr="00FB7469">
              <w:rPr>
                <w:sz w:val="20"/>
                <w:szCs w:val="20"/>
              </w:rPr>
              <w:t xml:space="preserve">Contact the Office of Educational Development at 409-772-2791 or </w:t>
            </w:r>
            <w:hyperlink r:id="rId17" w:history="1">
              <w:r w:rsidRPr="00FB7469">
                <w:rPr>
                  <w:rStyle w:val="Hyperlink"/>
                  <w:sz w:val="20"/>
                  <w:szCs w:val="20"/>
                </w:rPr>
                <w:t>oedhelp@utmb.edu</w:t>
              </w:r>
            </w:hyperlink>
          </w:p>
          <w:p w14:paraId="7915E26C" w14:textId="041E9975" w:rsidR="00FB7469" w:rsidRPr="00FB7469" w:rsidRDefault="00FB7469" w:rsidP="00FB7469">
            <w:pPr>
              <w:jc w:val="center"/>
              <w:rPr>
                <w:rFonts w:ascii="Calibri" w:hAnsi="Calibri" w:cs="Calibri"/>
                <w:sz w:val="20"/>
                <w:szCs w:val="20"/>
              </w:rPr>
            </w:pPr>
            <w:r>
              <w:rPr>
                <w:rFonts w:ascii="Calibri" w:hAnsi="Calibri" w:cs="Calibri"/>
                <w:sz w:val="20"/>
                <w:szCs w:val="20"/>
              </w:rPr>
              <w:t>~~~~~~~~~~~~~~~~~~~~~~~~~~~~~~~~~~~~~~~~~~~~~~~~~</w:t>
            </w:r>
          </w:p>
          <w:p w14:paraId="6F268636" w14:textId="77777777" w:rsidR="00FB7469" w:rsidRPr="00FB7469" w:rsidRDefault="00FB7469" w:rsidP="00FB7469">
            <w:pPr>
              <w:rPr>
                <w:rFonts w:ascii="Arial" w:hAnsi="Arial" w:cs="Arial"/>
                <w:b/>
                <w:bCs/>
                <w:sz w:val="20"/>
                <w:szCs w:val="20"/>
              </w:rPr>
            </w:pPr>
            <w:r w:rsidRPr="00FB7469">
              <w:rPr>
                <w:rFonts w:ascii="Arial" w:hAnsi="Arial" w:cs="Arial"/>
                <w:b/>
                <w:bCs/>
                <w:sz w:val="20"/>
                <w:szCs w:val="20"/>
              </w:rPr>
              <w:t>Teaching Skills Workshop:</w:t>
            </w:r>
          </w:p>
          <w:p w14:paraId="33F7AE4B" w14:textId="77777777" w:rsidR="00FB7469" w:rsidRPr="00FB7469" w:rsidRDefault="00FB7469" w:rsidP="00FB7469">
            <w:pPr>
              <w:rPr>
                <w:rFonts w:ascii="Arial" w:hAnsi="Arial" w:cs="Arial"/>
                <w:b/>
                <w:bCs/>
                <w:sz w:val="20"/>
                <w:szCs w:val="20"/>
              </w:rPr>
            </w:pPr>
            <w:r w:rsidRPr="00FB7469">
              <w:rPr>
                <w:rFonts w:ascii="Arial" w:hAnsi="Arial" w:cs="Arial"/>
                <w:b/>
                <w:bCs/>
                <w:sz w:val="20"/>
                <w:szCs w:val="20"/>
              </w:rPr>
              <w:t xml:space="preserve">10 Tips for Creating Group Assignments </w:t>
            </w:r>
          </w:p>
          <w:p w14:paraId="3FE643A5" w14:textId="77777777" w:rsidR="00FB7469" w:rsidRPr="00FB7469" w:rsidRDefault="00FB7469" w:rsidP="00FB7469">
            <w:pPr>
              <w:rPr>
                <w:rFonts w:ascii="Arial" w:hAnsi="Arial" w:cs="Arial"/>
                <w:b/>
                <w:bCs/>
                <w:sz w:val="20"/>
                <w:szCs w:val="20"/>
              </w:rPr>
            </w:pPr>
            <w:r w:rsidRPr="00FB7469">
              <w:rPr>
                <w:rFonts w:ascii="Arial" w:hAnsi="Arial" w:cs="Arial"/>
                <w:b/>
                <w:bCs/>
                <w:sz w:val="20"/>
                <w:szCs w:val="20"/>
              </w:rPr>
              <w:t>Students Will Love and Learn From</w:t>
            </w:r>
          </w:p>
          <w:p w14:paraId="7FBDE6F5" w14:textId="77777777" w:rsidR="00FB7469" w:rsidRPr="00FB7469" w:rsidRDefault="00FB7469" w:rsidP="00FB7469">
            <w:pPr>
              <w:rPr>
                <w:rFonts w:ascii="Calibri" w:hAnsi="Calibri" w:cs="Calibri"/>
                <w:sz w:val="16"/>
                <w:szCs w:val="16"/>
              </w:rPr>
            </w:pPr>
            <w:r w:rsidRPr="00FB7469">
              <w:rPr>
                <w:sz w:val="20"/>
                <w:szCs w:val="20"/>
              </w:rPr>
              <w:t> </w:t>
            </w:r>
          </w:p>
          <w:p w14:paraId="335232ED" w14:textId="77777777" w:rsidR="00FB7469" w:rsidRPr="00FB7469" w:rsidRDefault="00FB7469" w:rsidP="00FB7469">
            <w:pPr>
              <w:rPr>
                <w:rFonts w:ascii="Arial" w:hAnsi="Arial" w:cs="Arial"/>
                <w:sz w:val="20"/>
                <w:szCs w:val="20"/>
              </w:rPr>
            </w:pPr>
            <w:r w:rsidRPr="00FB7469">
              <w:rPr>
                <w:rFonts w:ascii="Arial" w:hAnsi="Arial" w:cs="Arial"/>
                <w:b/>
                <w:bCs/>
                <w:sz w:val="20"/>
                <w:szCs w:val="20"/>
              </w:rPr>
              <w:t>Choose a Session</w:t>
            </w:r>
            <w:r w:rsidRPr="00FB7469">
              <w:rPr>
                <w:rFonts w:ascii="Arial" w:hAnsi="Arial" w:cs="Arial"/>
                <w:sz w:val="20"/>
                <w:szCs w:val="20"/>
              </w:rPr>
              <w:t>:</w:t>
            </w:r>
          </w:p>
          <w:p w14:paraId="7378738E" w14:textId="2DEAA9D6" w:rsidR="00FB7469" w:rsidRPr="00FB7469" w:rsidRDefault="00FB7469" w:rsidP="00FB7469">
            <w:pPr>
              <w:rPr>
                <w:rFonts w:ascii="Arial" w:hAnsi="Arial" w:cs="Arial"/>
                <w:sz w:val="20"/>
                <w:szCs w:val="20"/>
              </w:rPr>
            </w:pPr>
            <w:r w:rsidRPr="00FB7469">
              <w:rPr>
                <w:rFonts w:ascii="Arial" w:hAnsi="Arial" w:cs="Arial"/>
                <w:sz w:val="20"/>
                <w:szCs w:val="20"/>
              </w:rPr>
              <w:t>Monday, March 2, 2020 4:00 pm to 5:00 pm</w:t>
            </w:r>
          </w:p>
          <w:p w14:paraId="6EF5F709" w14:textId="77777777" w:rsidR="00FB7469" w:rsidRPr="00FB7469" w:rsidRDefault="00FB7469" w:rsidP="00FB7469">
            <w:pPr>
              <w:rPr>
                <w:rFonts w:ascii="Arial" w:hAnsi="Arial" w:cs="Arial"/>
                <w:sz w:val="20"/>
                <w:szCs w:val="20"/>
              </w:rPr>
            </w:pPr>
            <w:r w:rsidRPr="00FB7469">
              <w:rPr>
                <w:rFonts w:ascii="Arial" w:hAnsi="Arial" w:cs="Arial"/>
                <w:sz w:val="20"/>
                <w:szCs w:val="20"/>
              </w:rPr>
              <w:t>Tuesday, March 3, 2020 12:00 noon to 1:00 pm</w:t>
            </w:r>
          </w:p>
          <w:p w14:paraId="6D12F633" w14:textId="77777777" w:rsidR="00FB7469" w:rsidRPr="00FB7469" w:rsidRDefault="00FB7469" w:rsidP="00FB7469">
            <w:pPr>
              <w:rPr>
                <w:rFonts w:ascii="Arial" w:hAnsi="Arial" w:cs="Arial"/>
                <w:sz w:val="20"/>
                <w:szCs w:val="20"/>
              </w:rPr>
            </w:pPr>
            <w:r w:rsidRPr="00FB7469">
              <w:rPr>
                <w:rFonts w:ascii="Arial" w:hAnsi="Arial" w:cs="Arial"/>
                <w:b/>
                <w:bCs/>
                <w:sz w:val="20"/>
                <w:szCs w:val="20"/>
              </w:rPr>
              <w:t xml:space="preserve">Location: </w:t>
            </w:r>
            <w:r w:rsidRPr="00FB7469">
              <w:rPr>
                <w:rFonts w:ascii="Arial" w:hAnsi="Arial" w:cs="Arial"/>
                <w:sz w:val="20"/>
                <w:szCs w:val="20"/>
              </w:rPr>
              <w:t>Mary Moody Northen Building Room 1.102</w:t>
            </w:r>
          </w:p>
          <w:p w14:paraId="2C17B8FF" w14:textId="392B79B3" w:rsidR="00FB7469" w:rsidRPr="00FB7469" w:rsidRDefault="00FB7469" w:rsidP="00FB7469">
            <w:pPr>
              <w:rPr>
                <w:rFonts w:ascii="Arial" w:hAnsi="Arial" w:cs="Arial"/>
                <w:sz w:val="20"/>
                <w:szCs w:val="20"/>
              </w:rPr>
            </w:pPr>
            <w:r w:rsidRPr="00FB7469">
              <w:rPr>
                <w:rFonts w:ascii="Arial" w:hAnsi="Arial" w:cs="Arial"/>
                <w:b/>
                <w:bCs/>
                <w:sz w:val="20"/>
                <w:szCs w:val="20"/>
              </w:rPr>
              <w:t xml:space="preserve"> Presenter: </w:t>
            </w:r>
            <w:r w:rsidRPr="00FB7469">
              <w:rPr>
                <w:rFonts w:ascii="Arial" w:hAnsi="Arial" w:cs="Arial"/>
                <w:sz w:val="20"/>
                <w:szCs w:val="20"/>
              </w:rPr>
              <w:t> Era Buck, PhD</w:t>
            </w:r>
          </w:p>
          <w:p w14:paraId="2520E1CF" w14:textId="77777777" w:rsidR="00FB7469" w:rsidRPr="00FB7469" w:rsidRDefault="00FB7469" w:rsidP="00FB7469">
            <w:pPr>
              <w:rPr>
                <w:rFonts w:ascii="Arial" w:hAnsi="Arial" w:cs="Arial"/>
                <w:sz w:val="16"/>
                <w:szCs w:val="16"/>
              </w:rPr>
            </w:pPr>
            <w:r w:rsidRPr="00FB7469">
              <w:rPr>
                <w:rFonts w:ascii="Arial" w:hAnsi="Arial" w:cs="Arial"/>
                <w:sz w:val="20"/>
                <w:szCs w:val="20"/>
              </w:rPr>
              <w:t> </w:t>
            </w:r>
          </w:p>
          <w:p w14:paraId="79838D80" w14:textId="0251B4F1" w:rsidR="00FB7469" w:rsidRDefault="00FB7469" w:rsidP="00FB7469">
            <w:pPr>
              <w:rPr>
                <w:sz w:val="20"/>
                <w:szCs w:val="20"/>
              </w:rPr>
            </w:pPr>
            <w:r w:rsidRPr="00FB7469">
              <w:rPr>
                <w:rFonts w:ascii="Arial" w:hAnsi="Arial" w:cs="Arial"/>
                <w:sz w:val="20"/>
                <w:szCs w:val="20"/>
              </w:rPr>
              <w:t xml:space="preserve">Register today by clicking this link: </w:t>
            </w:r>
            <w:hyperlink r:id="rId18" w:history="1">
              <w:r w:rsidRPr="00FB7469">
                <w:rPr>
                  <w:rStyle w:val="Hyperlink"/>
                  <w:rFonts w:ascii="Arial" w:hAnsi="Arial" w:cs="Arial"/>
                  <w:b/>
                  <w:bCs/>
                  <w:sz w:val="20"/>
                  <w:szCs w:val="20"/>
                </w:rPr>
                <w:t>https://utmb.us/3sy</w:t>
              </w:r>
            </w:hyperlink>
          </w:p>
          <w:p w14:paraId="139728BE" w14:textId="2902B46E" w:rsidR="003663FF" w:rsidRDefault="003663FF" w:rsidP="00FB7469">
            <w:pPr>
              <w:rPr>
                <w:sz w:val="20"/>
                <w:szCs w:val="20"/>
              </w:rPr>
            </w:pPr>
          </w:p>
          <w:p w14:paraId="18A5B0C3" w14:textId="06EB9AFD" w:rsidR="003663FF" w:rsidRDefault="003663FF" w:rsidP="00FB7469">
            <w:pPr>
              <w:rPr>
                <w:rFonts w:ascii="Tahoma" w:hAnsi="Tahoma" w:cs="Tahoma"/>
                <w:b/>
                <w:bCs/>
                <w:color w:val="984806" w:themeColor="accent6" w:themeShade="80"/>
                <w:sz w:val="20"/>
                <w:szCs w:val="20"/>
                <w:u w:val="single"/>
              </w:rPr>
            </w:pPr>
            <w:r>
              <w:rPr>
                <w:rFonts w:ascii="Tahoma" w:hAnsi="Tahoma" w:cs="Tahoma"/>
                <w:b/>
                <w:bCs/>
                <w:color w:val="984806" w:themeColor="accent6" w:themeShade="80"/>
                <w:sz w:val="20"/>
                <w:szCs w:val="20"/>
                <w:u w:val="single"/>
              </w:rPr>
              <w:t>Office of Student Affairs &amp; Admissions</w:t>
            </w:r>
          </w:p>
          <w:p w14:paraId="17A59C93" w14:textId="77777777" w:rsidR="007230AC" w:rsidRPr="007230AC" w:rsidRDefault="007230AC" w:rsidP="00FB7469">
            <w:pPr>
              <w:rPr>
                <w:rFonts w:ascii="Tahoma" w:hAnsi="Tahoma" w:cs="Tahoma"/>
                <w:b/>
                <w:bCs/>
                <w:color w:val="984806" w:themeColor="accent6" w:themeShade="80"/>
                <w:sz w:val="16"/>
                <w:szCs w:val="16"/>
                <w:u w:val="single"/>
              </w:rPr>
            </w:pPr>
          </w:p>
          <w:p w14:paraId="5A1AE710" w14:textId="0E29B740" w:rsidR="003663FF" w:rsidRDefault="003663FF" w:rsidP="00FB7469">
            <w:pPr>
              <w:rPr>
                <w:rFonts w:ascii="Tahoma" w:hAnsi="Tahoma" w:cs="Tahoma"/>
                <w:color w:val="244061" w:themeColor="accent1" w:themeShade="80"/>
                <w:sz w:val="20"/>
                <w:szCs w:val="20"/>
              </w:rPr>
            </w:pPr>
            <w:r>
              <w:rPr>
                <w:noProof/>
              </w:rPr>
              <w:drawing>
                <wp:inline distT="0" distB="0" distL="0" distR="0" wp14:anchorId="155FE76A" wp14:editId="3A759004">
                  <wp:extent cx="3134995" cy="1741805"/>
                  <wp:effectExtent l="0" t="0" r="8255" b="0"/>
                  <wp:docPr id="1" name="Picture 1" descr="Image result for congrat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gratula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4995" cy="1741805"/>
                          </a:xfrm>
                          <a:prstGeom prst="rect">
                            <a:avLst/>
                          </a:prstGeom>
                          <a:noFill/>
                          <a:ln>
                            <a:noFill/>
                          </a:ln>
                        </pic:spPr>
                      </pic:pic>
                    </a:graphicData>
                  </a:graphic>
                </wp:inline>
              </w:drawing>
            </w:r>
          </w:p>
          <w:p w14:paraId="7167D469" w14:textId="6A8C49A7" w:rsidR="003663FF" w:rsidRPr="00575A0F" w:rsidRDefault="003663FF" w:rsidP="00FB7469">
            <w:pPr>
              <w:rPr>
                <w:rFonts w:ascii="Tahoma" w:hAnsi="Tahoma" w:cs="Tahoma"/>
                <w:color w:val="244061" w:themeColor="accent1" w:themeShade="80"/>
                <w:sz w:val="16"/>
                <w:szCs w:val="16"/>
              </w:rPr>
            </w:pPr>
          </w:p>
          <w:p w14:paraId="0670087A" w14:textId="6F220375" w:rsidR="007230AC" w:rsidRDefault="007230AC" w:rsidP="007230AC">
            <w:pPr>
              <w:jc w:val="center"/>
              <w:rPr>
                <w:rFonts w:ascii="Baskerville Old Face" w:hAnsi="Baskerville Old Face" w:cs="Tahoma"/>
                <w:color w:val="1D1B11" w:themeColor="background2" w:themeShade="1A"/>
                <w:sz w:val="28"/>
                <w:szCs w:val="28"/>
              </w:rPr>
            </w:pPr>
            <w:r w:rsidRPr="007230AC">
              <w:rPr>
                <w:rFonts w:ascii="Baskerville Old Face" w:hAnsi="Baskerville Old Face" w:cs="Tahoma"/>
                <w:color w:val="1D1B11" w:themeColor="background2" w:themeShade="1A"/>
                <w:sz w:val="28"/>
                <w:szCs w:val="28"/>
              </w:rPr>
              <w:t xml:space="preserve">A </w:t>
            </w:r>
            <w:r>
              <w:rPr>
                <w:rFonts w:ascii="Baskerville Old Face" w:hAnsi="Baskerville Old Face" w:cs="Tahoma"/>
                <w:color w:val="1D1B11" w:themeColor="background2" w:themeShade="1A"/>
                <w:sz w:val="28"/>
                <w:szCs w:val="28"/>
              </w:rPr>
              <w:t xml:space="preserve">BIG CONGRATULATIONS </w:t>
            </w:r>
            <w:r w:rsidRPr="007230AC">
              <w:rPr>
                <w:rFonts w:ascii="Baskerville Old Face" w:hAnsi="Baskerville Old Face" w:cs="Tahoma"/>
                <w:color w:val="1D1B11" w:themeColor="background2" w:themeShade="1A"/>
                <w:sz w:val="28"/>
                <w:szCs w:val="28"/>
              </w:rPr>
              <w:t>to</w:t>
            </w:r>
          </w:p>
          <w:p w14:paraId="4A47DDE2" w14:textId="312A89B8" w:rsidR="007230AC" w:rsidRDefault="007230AC" w:rsidP="007230AC">
            <w:pPr>
              <w:jc w:val="center"/>
              <w:rPr>
                <w:rFonts w:ascii="Baskerville Old Face" w:hAnsi="Baskerville Old Face" w:cs="Tahoma"/>
                <w:color w:val="1D1B11" w:themeColor="background2" w:themeShade="1A"/>
                <w:sz w:val="28"/>
                <w:szCs w:val="28"/>
              </w:rPr>
            </w:pPr>
            <w:r w:rsidRPr="007230AC">
              <w:rPr>
                <w:rFonts w:ascii="Baskerville Old Face" w:hAnsi="Baskerville Old Face" w:cs="Tahoma"/>
                <w:color w:val="1D1B11" w:themeColor="background2" w:themeShade="1A"/>
                <w:sz w:val="28"/>
                <w:szCs w:val="28"/>
              </w:rPr>
              <w:t>Dr. Rebecca Guler</w:t>
            </w:r>
          </w:p>
          <w:p w14:paraId="67D09B4D" w14:textId="2E1600E5" w:rsidR="003663FF" w:rsidRDefault="007230AC" w:rsidP="003930CE">
            <w:pPr>
              <w:jc w:val="center"/>
              <w:rPr>
                <w:rFonts w:ascii="Baskerville Old Face" w:hAnsi="Baskerville Old Face" w:cs="Tahoma"/>
                <w:color w:val="1D1B11" w:themeColor="background2" w:themeShade="1A"/>
                <w:sz w:val="28"/>
                <w:szCs w:val="28"/>
              </w:rPr>
            </w:pPr>
            <w:r w:rsidRPr="007230AC">
              <w:rPr>
                <w:rFonts w:ascii="Baskerville Old Face" w:hAnsi="Baskerville Old Face" w:cs="Tahoma"/>
                <w:color w:val="1D1B11" w:themeColor="background2" w:themeShade="1A"/>
                <w:sz w:val="28"/>
                <w:szCs w:val="28"/>
              </w:rPr>
              <w:t>who defended her dissertation on Tuesday!</w:t>
            </w:r>
          </w:p>
          <w:p w14:paraId="62ED5B37" w14:textId="1418B98D" w:rsidR="00FB7469" w:rsidRPr="00575A0F" w:rsidRDefault="00575A0F" w:rsidP="00575A0F">
            <w:pPr>
              <w:jc w:val="center"/>
              <w:rPr>
                <w:i/>
                <w:iCs/>
                <w:sz w:val="18"/>
                <w:szCs w:val="18"/>
              </w:rPr>
            </w:pPr>
            <w:r>
              <w:rPr>
                <w:rFonts w:ascii="Baskerville Old Face" w:hAnsi="Baskerville Old Face" w:cs="Tahoma"/>
                <w:i/>
                <w:iCs/>
                <w:color w:val="1D1B11" w:themeColor="background2" w:themeShade="1A"/>
                <w:sz w:val="28"/>
                <w:szCs w:val="28"/>
              </w:rPr>
              <w:t>Way to go Becca!</w:t>
            </w:r>
          </w:p>
        </w:tc>
        <w:tc>
          <w:tcPr>
            <w:tcW w:w="6120" w:type="dxa"/>
            <w:gridSpan w:val="2"/>
            <w:tcBorders>
              <w:top w:val="single" w:sz="4" w:space="0" w:color="auto"/>
              <w:left w:val="single" w:sz="4" w:space="0" w:color="auto"/>
              <w:bottom w:val="single" w:sz="4" w:space="0" w:color="auto"/>
              <w:right w:val="single" w:sz="4" w:space="0" w:color="auto"/>
            </w:tcBorders>
          </w:tcPr>
          <w:p w14:paraId="61E13BD0" w14:textId="512C5069" w:rsidR="007B59F2" w:rsidRPr="00E25B65" w:rsidRDefault="008348D8" w:rsidP="002830C3">
            <w:pPr>
              <w:rPr>
                <w:rFonts w:asciiTheme="majorHAnsi" w:hAnsiTheme="majorHAnsi" w:cstheme="majorHAnsi"/>
                <w:b/>
                <w:bCs/>
                <w:color w:val="000000"/>
                <w:u w:val="single"/>
              </w:rPr>
            </w:pPr>
            <w:r>
              <w:rPr>
                <w:rFonts w:asciiTheme="majorHAnsi" w:hAnsiTheme="majorHAnsi" w:cstheme="majorHAnsi"/>
                <w:b/>
                <w:bCs/>
                <w:color w:val="000000"/>
              </w:rPr>
              <w:t>Galveston County registered voters may use polling location in Rebecca Sealy Building to vote in primary election on March 3</w:t>
            </w:r>
            <w:r w:rsidR="00B87467">
              <w:rPr>
                <w:rFonts w:asciiTheme="majorHAnsi" w:hAnsiTheme="majorHAnsi" w:cstheme="majorHAnsi"/>
                <w:b/>
                <w:bCs/>
                <w:color w:val="000000"/>
              </w:rPr>
              <w:t>:</w:t>
            </w:r>
            <w:r w:rsidR="00E25B65">
              <w:rPr>
                <w:rFonts w:asciiTheme="majorHAnsi" w:hAnsiTheme="majorHAnsi" w:cstheme="majorHAnsi"/>
                <w:b/>
                <w:bCs/>
                <w:color w:val="000000"/>
                <w:u w:val="single"/>
              </w:rPr>
              <w:t xml:space="preserve"> </w:t>
            </w:r>
            <w:r w:rsidR="002830C3" w:rsidRPr="002830C3">
              <w:rPr>
                <w:rFonts w:ascii="Calibri Light" w:hAnsi="Calibri Light" w:cs="Calibri Light"/>
                <w:sz w:val="21"/>
                <w:szCs w:val="21"/>
              </w:rPr>
              <w:t>Anyone registered to vote in Galveston County may cast their ballot for the March 3 primary election at the polling location in the Rebecca Sealy Building on the Galveston Campus, Rooms 1.104/1.106, from 7 a.m. to 7 p.m. The UTMB Galveston Campus map is available at </w:t>
            </w:r>
            <w:hyperlink r:id="rId20" w:history="1">
              <w:r w:rsidR="002830C3" w:rsidRPr="002830C3">
                <w:rPr>
                  <w:rStyle w:val="Hyperlink"/>
                  <w:rFonts w:ascii="Calibri Light" w:hAnsi="Calibri Light" w:cs="Calibri Light"/>
                  <w:sz w:val="21"/>
                  <w:szCs w:val="21"/>
                </w:rPr>
                <w:t>www.utmb.edu/map</w:t>
              </w:r>
            </w:hyperlink>
            <w:r w:rsidR="002830C3" w:rsidRPr="002830C3">
              <w:rPr>
                <w:rFonts w:ascii="Calibri Light" w:hAnsi="Calibri Light" w:cs="Calibri Light"/>
                <w:sz w:val="21"/>
                <w:szCs w:val="21"/>
              </w:rPr>
              <w:t> for reference. For more information, call the Galveston County Clerk’s office at (409) 770-5108 or go to</w:t>
            </w:r>
            <w:r w:rsidR="002830C3">
              <w:rPr>
                <w:rFonts w:ascii="Calibri Light" w:hAnsi="Calibri Light" w:cs="Calibri Light"/>
                <w:sz w:val="21"/>
                <w:szCs w:val="21"/>
              </w:rPr>
              <w:t xml:space="preserve"> </w:t>
            </w:r>
            <w:hyperlink r:id="rId21" w:history="1">
              <w:r w:rsidR="002830C3" w:rsidRPr="00727A25">
                <w:rPr>
                  <w:rStyle w:val="Hyperlink"/>
                  <w:rFonts w:ascii="Calibri Light" w:hAnsi="Calibri Light" w:cs="Calibri Light"/>
                  <w:sz w:val="21"/>
                  <w:szCs w:val="21"/>
                </w:rPr>
                <w:t>https://utmb.us/3ud</w:t>
              </w:r>
            </w:hyperlink>
            <w:r w:rsidR="002830C3">
              <w:rPr>
                <w:rFonts w:ascii="Calibri Light" w:hAnsi="Calibri Light" w:cs="Calibri Light"/>
                <w:sz w:val="21"/>
                <w:szCs w:val="21"/>
              </w:rPr>
              <w:t xml:space="preserve">. </w:t>
            </w:r>
            <w:r w:rsidR="002830C3" w:rsidRPr="002830C3">
              <w:rPr>
                <w:rFonts w:ascii="Calibri Light" w:hAnsi="Calibri Light" w:cs="Calibri Light"/>
                <w:color w:val="000000"/>
                <w:sz w:val="21"/>
                <w:szCs w:val="21"/>
                <w:shd w:val="clear" w:color="auto" w:fill="FFFFFF"/>
              </w:rPr>
              <w:t>If you live or work outside of Galveston County, please check your local county clerk’s office for voting information in your area.</w:t>
            </w:r>
          </w:p>
          <w:p w14:paraId="29FFE89F" w14:textId="77777777" w:rsidR="00B87467" w:rsidRDefault="00B87467" w:rsidP="00B87467">
            <w:pPr>
              <w:rPr>
                <w:rFonts w:ascii="Calibri" w:hAnsi="Calibri" w:cs="Calibri"/>
                <w:color w:val="000000"/>
                <w:sz w:val="22"/>
                <w:szCs w:val="22"/>
              </w:rPr>
            </w:pPr>
          </w:p>
          <w:p w14:paraId="67BB3E41" w14:textId="645626E3" w:rsidR="007B59F2" w:rsidRPr="00CE2EC1" w:rsidRDefault="00CE2EC1" w:rsidP="007B59F2">
            <w:pPr>
              <w:rPr>
                <w:rFonts w:asciiTheme="majorHAnsi" w:hAnsiTheme="majorHAnsi" w:cstheme="majorHAnsi"/>
                <w:b/>
                <w:bCs/>
                <w:color w:val="FF0000"/>
              </w:rPr>
            </w:pPr>
            <w:r>
              <w:rPr>
                <w:rFonts w:asciiTheme="majorHAnsi" w:hAnsiTheme="majorHAnsi" w:cstheme="majorHAnsi"/>
                <w:b/>
                <w:bCs/>
                <w:color w:val="000000"/>
              </w:rPr>
              <w:t>The UTMB intranet in your pocket—SharePoint and OneDrive mobile apps</w:t>
            </w:r>
            <w:r w:rsidR="007B59F2" w:rsidRPr="00E021BC">
              <w:rPr>
                <w:rFonts w:asciiTheme="majorHAnsi" w:hAnsiTheme="majorHAnsi" w:cstheme="majorHAnsi"/>
                <w:color w:val="000000"/>
              </w:rPr>
              <w:t>:</w:t>
            </w:r>
            <w:r w:rsidR="002F47A5">
              <w:rPr>
                <w:rFonts w:asciiTheme="majorHAnsi" w:hAnsiTheme="majorHAnsi" w:cstheme="majorHAnsi"/>
                <w:color w:val="000000"/>
              </w:rPr>
              <w:t xml:space="preserve"> </w:t>
            </w:r>
            <w:r w:rsidRPr="00CE2EC1">
              <w:rPr>
                <w:rFonts w:ascii="Calibri Light" w:hAnsi="Calibri Light" w:cs="Calibri Light"/>
                <w:color w:val="000000"/>
                <w:sz w:val="21"/>
                <w:szCs w:val="21"/>
              </w:rPr>
              <w:t xml:space="preserve">Did you know that you can stay connected to important work content while on the go by installing the SharePoint and OneDrive apps </w:t>
            </w:r>
            <w:r>
              <w:rPr>
                <w:rFonts w:ascii="Calibri Light" w:hAnsi="Calibri Light" w:cs="Calibri Light"/>
                <w:color w:val="000000"/>
                <w:sz w:val="21"/>
                <w:szCs w:val="21"/>
              </w:rPr>
              <w:t xml:space="preserve">on </w:t>
            </w:r>
            <w:r w:rsidRPr="00CE2EC1">
              <w:rPr>
                <w:rFonts w:ascii="Calibri Light" w:hAnsi="Calibri Light" w:cs="Calibri Light"/>
                <w:color w:val="000000"/>
                <w:sz w:val="21"/>
                <w:szCs w:val="21"/>
              </w:rPr>
              <w:t xml:space="preserve">your mobile device? The SharePoint mobile app helps keep your work moving forward by providing quick access to your organization’s portals, files and colleagues. OneDrive for mobile offers the same functionality you find on your computer, which includes opening, downloading, moving or sharing any file or folder in your personal OneDrive. Download the apps from your mobile app store, log in with UTMB credentials and you are all set. Read more about these and other Microsoft applications at </w:t>
            </w:r>
            <w:hyperlink r:id="rId22" w:history="1">
              <w:r w:rsidRPr="00727A25">
                <w:rPr>
                  <w:rStyle w:val="Hyperlink"/>
                  <w:rFonts w:ascii="Calibri Light" w:hAnsi="Calibri Light" w:cs="Calibri Light"/>
                  <w:sz w:val="21"/>
                  <w:szCs w:val="21"/>
                </w:rPr>
                <w:t>https://www.microsoft.com/en-us/mobileapps</w:t>
              </w:r>
            </w:hyperlink>
            <w:r w:rsidRPr="00CE2EC1">
              <w:rPr>
                <w:rFonts w:ascii="Calibri Light" w:hAnsi="Calibri Light" w:cs="Calibri Light"/>
                <w:color w:val="000000"/>
                <w:sz w:val="21"/>
                <w:szCs w:val="21"/>
              </w:rPr>
              <w:t xml:space="preserve">. </w:t>
            </w:r>
            <w:r>
              <w:rPr>
                <w:rFonts w:ascii="Calibri Light" w:hAnsi="Calibri Light" w:cs="Calibri Light"/>
                <w:color w:val="000000"/>
                <w:sz w:val="21"/>
                <w:szCs w:val="21"/>
              </w:rPr>
              <w:br/>
            </w:r>
          </w:p>
          <w:p w14:paraId="33D5B003" w14:textId="5FC6350E" w:rsidR="00F24BC8" w:rsidRPr="00E25B65" w:rsidRDefault="00CE2EC1" w:rsidP="00E25B65">
            <w:r w:rsidRPr="00CE2EC1">
              <w:rPr>
                <w:rFonts w:asciiTheme="majorHAnsi" w:hAnsiTheme="majorHAnsi" w:cstheme="majorHAnsi"/>
                <w:b/>
                <w:bCs/>
                <w:color w:val="FF0000"/>
              </w:rPr>
              <w:t>REMINDER</w:t>
            </w:r>
            <w:r>
              <w:rPr>
                <w:rFonts w:asciiTheme="majorHAnsi" w:hAnsiTheme="majorHAnsi" w:cstheme="majorHAnsi"/>
                <w:b/>
                <w:bCs/>
                <w:color w:val="000000"/>
              </w:rPr>
              <w:br/>
              <w:t>Nominations for the 2020 Leone Award now being accepted</w:t>
            </w:r>
            <w:r w:rsidR="007B59F2" w:rsidRPr="00E021BC">
              <w:rPr>
                <w:rFonts w:asciiTheme="majorHAnsi" w:hAnsiTheme="majorHAnsi" w:cstheme="majorHAnsi"/>
                <w:color w:val="000000"/>
              </w:rPr>
              <w:t>:</w:t>
            </w:r>
            <w:r w:rsidR="002F47A5">
              <w:rPr>
                <w:rFonts w:asciiTheme="majorHAnsi" w:hAnsiTheme="majorHAnsi" w:cstheme="majorHAnsi"/>
                <w:color w:val="000000"/>
              </w:rPr>
              <w:t xml:space="preserve"> </w:t>
            </w:r>
            <w:r w:rsidRPr="00CE2EC1">
              <w:rPr>
                <w:rFonts w:ascii="Calibri Light" w:hAnsi="Calibri Light" w:cs="Calibri Light"/>
                <w:color w:val="000000"/>
                <w:sz w:val="21"/>
                <w:szCs w:val="21"/>
              </w:rPr>
              <w:t>Nominations are now being accepted for the 2020 Nicholas and Katherine Leone Award for Administrative Excellence. This award recognizes managers/supervisors who display the highest degree of professionalism and comes with a $7,500 monetary prize—$2,500 for the winning manager/supervisor and $5,000 for the development and training of his or her department/unit. The deadline for nominations is March 13. Visit </w:t>
            </w:r>
            <w:hyperlink r:id="rId23" w:history="1">
              <w:r w:rsidRPr="00CE2EC1">
                <w:rPr>
                  <w:rStyle w:val="Hyperlink"/>
                  <w:rFonts w:ascii="Calibri Light" w:hAnsi="Calibri Light" w:cs="Calibri Light"/>
                  <w:sz w:val="21"/>
                  <w:szCs w:val="21"/>
                </w:rPr>
                <w:t>https://utmb.us/3t9</w:t>
              </w:r>
            </w:hyperlink>
            <w:r w:rsidRPr="00CE2EC1">
              <w:rPr>
                <w:rStyle w:val="apple-converted-space"/>
                <w:rFonts w:ascii="Calibri Light" w:hAnsi="Calibri Light" w:cs="Calibri Light"/>
                <w:color w:val="000000"/>
                <w:sz w:val="21"/>
                <w:szCs w:val="21"/>
              </w:rPr>
              <w:t> </w:t>
            </w:r>
            <w:r w:rsidRPr="00CE2EC1">
              <w:rPr>
                <w:rFonts w:ascii="Calibri Light" w:hAnsi="Calibri Light" w:cs="Calibri Light"/>
                <w:color w:val="000000"/>
                <w:sz w:val="21"/>
                <w:szCs w:val="21"/>
              </w:rPr>
              <w:t>to learn more about the award or to submit a nomination.</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55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52"/>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97AB352" w14:textId="3F8380A2" w:rsidR="00854205" w:rsidRPr="00E25B65" w:rsidRDefault="00E25B65" w:rsidP="00E25B65">
            <w:r>
              <w:rPr>
                <w:rFonts w:asciiTheme="majorHAnsi" w:hAnsiTheme="majorHAnsi"/>
                <w:noProof/>
                <w:sz w:val="20"/>
              </w:rPr>
              <w:drawing>
                <wp:inline distT="0" distB="0" distL="0" distR="0" wp14:anchorId="62098018" wp14:editId="2183FE79">
                  <wp:extent cx="387385" cy="330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387833" cy="330582"/>
                          </a:xfrm>
                          <a:prstGeom prst="rect">
                            <a:avLst/>
                          </a:prstGeom>
                        </pic:spPr>
                      </pic:pic>
                    </a:graphicData>
                  </a:graphic>
                </wp:inline>
              </w:drawing>
            </w:r>
            <w:r>
              <w:rPr>
                <w:rFonts w:asciiTheme="majorHAnsi" w:hAnsiTheme="majorHAnsi" w:cstheme="majorHAnsi"/>
                <w:b/>
                <w:bCs/>
                <w:color w:val="000000"/>
              </w:rPr>
              <w:t>Providers—New Texas law requires Prescription Drug Monitoring Program Review</w:t>
            </w:r>
            <w:r w:rsidRPr="00E021BC">
              <w:rPr>
                <w:rFonts w:asciiTheme="majorHAnsi" w:hAnsiTheme="majorHAnsi" w:cstheme="majorHAnsi"/>
                <w:color w:val="000000"/>
              </w:rPr>
              <w:t>:</w:t>
            </w:r>
            <w:r w:rsidRPr="00E25B65">
              <w:rPr>
                <w:rFonts w:ascii="Calibri Light" w:hAnsi="Calibri Light" w:cs="Calibri Light"/>
                <w:color w:val="000000"/>
                <w:sz w:val="21"/>
                <w:szCs w:val="21"/>
              </w:rPr>
              <w:t xml:space="preserve"> Beginning March 1</w:t>
            </w:r>
            <w:r w:rsidRPr="00E25B65">
              <w:rPr>
                <w:rStyle w:val="Strong"/>
                <w:rFonts w:ascii="Calibri Light" w:hAnsi="Calibri Light" w:cs="Calibri Light"/>
                <w:color w:val="000000"/>
                <w:sz w:val="21"/>
                <w:szCs w:val="21"/>
              </w:rPr>
              <w:t>,</w:t>
            </w:r>
            <w:r w:rsidRPr="00E25B65">
              <w:rPr>
                <w:rFonts w:ascii="Calibri Light" w:hAnsi="Calibri Light" w:cs="Calibri Light"/>
                <w:color w:val="000000"/>
                <w:sz w:val="21"/>
                <w:szCs w:val="21"/>
              </w:rPr>
              <w:t xml:space="preserve"> a new </w:t>
            </w:r>
            <w:r w:rsidRPr="00E25B65">
              <w:rPr>
                <w:rFonts w:ascii="Calibri Light" w:hAnsi="Calibri Light" w:cs="Calibri Light"/>
                <w:sz w:val="21"/>
                <w:szCs w:val="21"/>
              </w:rPr>
              <w:t xml:space="preserve">state law </w:t>
            </w:r>
            <w:r w:rsidRPr="00E25B65">
              <w:rPr>
                <w:rFonts w:ascii="Calibri Light" w:hAnsi="Calibri Light" w:cs="Calibri Light"/>
                <w:color w:val="000000"/>
                <w:sz w:val="21"/>
                <w:szCs w:val="21"/>
              </w:rPr>
              <w:t xml:space="preserve">requires prescribing providers to review the Texas Prescription Monitoring Program (PMP AWARxE) database before issuing any prescription for four drug classes: opioids, benzodiazepines, barbiturates and carisoprodol. </w:t>
            </w:r>
            <w:hyperlink r:id="rId28" w:tgtFrame="_blank" w:history="1">
              <w:r w:rsidRPr="00E25B65">
                <w:rPr>
                  <w:rStyle w:val="Hyperlink"/>
                  <w:rFonts w:ascii="Calibri Light" w:hAnsi="Calibri Light" w:cs="Calibri Light"/>
                  <w:sz w:val="21"/>
                  <w:szCs w:val="21"/>
                </w:rPr>
                <w:t xml:space="preserve">PMP AWARxE </w:t>
              </w:r>
            </w:hyperlink>
            <w:r w:rsidRPr="00E25B65">
              <w:rPr>
                <w:rFonts w:ascii="Calibri Light" w:hAnsi="Calibri Light" w:cs="Calibri Light"/>
                <w:sz w:val="21"/>
                <w:szCs w:val="21"/>
              </w:rPr>
              <w:t> </w:t>
            </w:r>
            <w:r w:rsidRPr="00E25B65">
              <w:rPr>
                <w:rFonts w:ascii="Calibri Light" w:hAnsi="Calibri Light" w:cs="Calibri Light"/>
                <w:color w:val="000000"/>
                <w:sz w:val="21"/>
                <w:szCs w:val="21"/>
                <w:shd w:val="clear" w:color="auto" w:fill="FFFFFF"/>
              </w:rPr>
              <w:t xml:space="preserve">must be checked </w:t>
            </w:r>
            <w:r w:rsidRPr="00E25B65">
              <w:rPr>
                <w:rFonts w:ascii="Calibri Light" w:hAnsi="Calibri Light" w:cs="Calibri Light"/>
                <w:color w:val="000000"/>
                <w:sz w:val="21"/>
                <w:szCs w:val="21"/>
                <w:u w:val="single"/>
                <w:shd w:val="clear" w:color="auto" w:fill="FFFFFF"/>
              </w:rPr>
              <w:t>each time</w:t>
            </w:r>
            <w:r w:rsidRPr="00E25B65">
              <w:rPr>
                <w:rFonts w:ascii="Calibri Light" w:hAnsi="Calibri Light" w:cs="Calibri Light"/>
                <w:color w:val="000000"/>
                <w:sz w:val="21"/>
                <w:szCs w:val="21"/>
                <w:shd w:val="clear" w:color="auto" w:fill="FFFFFF"/>
              </w:rPr>
              <w:t xml:space="preserve"> a patient is prescribed or dispensed drugs subject to the mandate. </w:t>
            </w:r>
            <w:r w:rsidRPr="00E25B65">
              <w:rPr>
                <w:rFonts w:ascii="Calibri Light" w:hAnsi="Calibri Light" w:cs="Calibri Light"/>
                <w:b/>
                <w:bCs/>
                <w:sz w:val="21"/>
                <w:szCs w:val="21"/>
              </w:rPr>
              <w:t>Failure to comply with the mandates to check the PMP as required could result in loss of license and possible civil and criminal penalties</w:t>
            </w:r>
            <w:r w:rsidRPr="00E25B65">
              <w:rPr>
                <w:rFonts w:ascii="Calibri Light" w:hAnsi="Calibri Light" w:cs="Calibri Light"/>
                <w:sz w:val="21"/>
                <w:szCs w:val="21"/>
              </w:rPr>
              <w:t>.</w:t>
            </w:r>
            <w:r w:rsidRPr="00E25B65">
              <w:rPr>
                <w:rFonts w:ascii="Calibri Light" w:hAnsi="Calibri Light" w:cs="Calibri Light"/>
                <w:b/>
                <w:bCs/>
                <w:sz w:val="21"/>
                <w:szCs w:val="21"/>
              </w:rPr>
              <w:t> </w:t>
            </w:r>
            <w:r w:rsidRPr="00E25B65">
              <w:rPr>
                <w:rFonts w:ascii="Calibri Light" w:hAnsi="Calibri Light" w:cs="Calibri Light"/>
                <w:sz w:val="21"/>
                <w:szCs w:val="21"/>
              </w:rPr>
              <w:t xml:space="preserve">Mandatory PMP checks are only required when a physician prescribes (not administers) opioids, benzodiazepines, barbiturates or carisoprodol for take-home use upon leaving a facility or office-based practice. Please visit </w:t>
            </w:r>
            <w:hyperlink r:id="rId29" w:history="1">
              <w:r w:rsidRPr="00E25B65">
                <w:rPr>
                  <w:rStyle w:val="Hyperlink"/>
                  <w:rFonts w:ascii="Calibri Light" w:hAnsi="Calibri Light" w:cs="Calibri Light"/>
                  <w:sz w:val="21"/>
                  <w:szCs w:val="21"/>
                </w:rPr>
                <w:t>Texas Law and CMS Guidelines: Frequently Asked Questions</w:t>
              </w:r>
            </w:hyperlink>
            <w:r w:rsidRPr="00E25B65">
              <w:rPr>
                <w:rFonts w:ascii="Calibri Light" w:hAnsi="Calibri Light" w:cs="Calibri Light"/>
                <w:sz w:val="21"/>
                <w:szCs w:val="21"/>
              </w:rPr>
              <w:t xml:space="preserve"> for more details. Note: </w:t>
            </w:r>
            <w:r w:rsidRPr="00E25B65">
              <w:rPr>
                <w:rFonts w:ascii="Calibri Light" w:hAnsi="Calibri Light" w:cs="Calibri Light"/>
                <w:color w:val="000000"/>
                <w:sz w:val="21"/>
                <w:szCs w:val="21"/>
              </w:rPr>
              <w:t xml:space="preserve">A </w:t>
            </w:r>
            <w:r w:rsidRPr="00E25B65">
              <w:rPr>
                <w:rFonts w:ascii="Calibri Light" w:hAnsi="Calibri Light" w:cs="Calibri Light"/>
                <w:sz w:val="21"/>
                <w:szCs w:val="21"/>
              </w:rPr>
              <w:t xml:space="preserve">single sign-on </w:t>
            </w:r>
            <w:r w:rsidRPr="00E25B65">
              <w:rPr>
                <w:rFonts w:ascii="Calibri Light" w:hAnsi="Calibri Light" w:cs="Calibri Light"/>
                <w:color w:val="000000"/>
                <w:sz w:val="21"/>
                <w:szCs w:val="21"/>
              </w:rPr>
              <w:t>interface in Epic was added Jan. 14 to make the process of consulting PMP AWARxE more efficient for providers—a</w:t>
            </w:r>
            <w:r w:rsidRPr="00E25B65">
              <w:rPr>
                <w:rFonts w:ascii="Calibri Light" w:hAnsi="Calibri Light" w:cs="Calibri Light"/>
                <w:sz w:val="21"/>
                <w:szCs w:val="21"/>
              </w:rPr>
              <w:t xml:space="preserve"> short video is posted on the website to show you how easy it is to review PMP </w:t>
            </w:r>
            <w:r w:rsidRPr="00E25B65">
              <w:rPr>
                <w:rFonts w:ascii="Calibri Light" w:hAnsi="Calibri Light" w:cs="Calibri Light"/>
                <w:color w:val="000000"/>
                <w:sz w:val="21"/>
                <w:szCs w:val="21"/>
              </w:rPr>
              <w:t xml:space="preserve">AWARxE </w:t>
            </w:r>
            <w:r w:rsidRPr="00E25B65">
              <w:rPr>
                <w:rFonts w:ascii="Calibri Light" w:hAnsi="Calibri Light" w:cs="Calibri Light"/>
                <w:sz w:val="21"/>
                <w:szCs w:val="21"/>
              </w:rPr>
              <w:t xml:space="preserve">in Epic. More information is available on the Best Care website: </w:t>
            </w:r>
            <w:hyperlink r:id="rId30" w:history="1">
              <w:r w:rsidRPr="00E25B65">
                <w:rPr>
                  <w:rStyle w:val="Hyperlink"/>
                  <w:rFonts w:ascii="Calibri Light" w:hAnsi="Calibri Light" w:cs="Calibri Light"/>
                  <w:sz w:val="21"/>
                  <w:szCs w:val="21"/>
                </w:rPr>
                <w:t>https://utmb.us/3tp</w:t>
              </w:r>
            </w:hyperlink>
            <w:r>
              <w:rPr>
                <w:rFonts w:ascii="Calibri Light" w:hAnsi="Calibri Light" w:cs="Calibri Light"/>
                <w:sz w:val="21"/>
                <w:szCs w:val="21"/>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6645DB06" w:rsidR="00E71714" w:rsidRPr="00E61EBC" w:rsidRDefault="00E71714" w:rsidP="00E25B65">
            <w:pPr>
              <w:rPr>
                <w:rFonts w:ascii="Calibri Light" w:hAnsi="Calibri Light" w:cs="Calibri Light"/>
                <w:sz w:val="21"/>
                <w:szCs w:val="21"/>
              </w:rPr>
            </w:pPr>
          </w:p>
        </w:tc>
      </w:tr>
      <w:tr w:rsidR="00212AAF" w14:paraId="09FE0D10"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702E8118" w:rsidR="009A7614" w:rsidRPr="00D661CA" w:rsidRDefault="00212AAF" w:rsidP="00B62268">
            <w:pPr>
              <w:rPr>
                <w:rFonts w:ascii="Calibri" w:hAnsi="Calibri"/>
                <w:color w:val="000000"/>
              </w:rPr>
            </w:pPr>
            <w:r>
              <w:rPr>
                <w:rFonts w:asciiTheme="majorHAnsi" w:hAnsiTheme="majorHAnsi"/>
                <w:b/>
                <w:color w:val="FF0000"/>
                <w:sz w:val="28"/>
              </w:rPr>
              <w:t>DID YOU KNOW?</w:t>
            </w:r>
            <w:r>
              <w:br/>
            </w:r>
            <w:bookmarkStart w:id="1" w:name="_Hlk33693789"/>
            <w:r w:rsidR="008348D8" w:rsidRPr="008348D8">
              <w:rPr>
                <w:rFonts w:ascii="Calibri Light" w:hAnsi="Calibri Light" w:cs="Calibri Light"/>
                <w:color w:val="000000"/>
                <w:sz w:val="21"/>
                <w:szCs w:val="21"/>
              </w:rPr>
              <w:t xml:space="preserve">Currently boasting more than 360 members, the UTMB President’s Cabinet was created in 1993 and has awarded more than $6 million to 159 community-based health care programs created by UTMB faculty, staff and students. In celebration of his role as president ad interim and founding member of the President’s Cabinet, the Cabinet launched a special membership campaign in honor of Dr. Ben Raimer by enlisting 26 new President’s Cabinet members: one for each year the Raimers have been a part of the </w:t>
            </w:r>
            <w:r w:rsidR="00F25671">
              <w:rPr>
                <w:rFonts w:ascii="Calibri Light" w:hAnsi="Calibri Light" w:cs="Calibri Light"/>
                <w:color w:val="000000"/>
                <w:sz w:val="21"/>
                <w:szCs w:val="21"/>
              </w:rPr>
              <w:t>group</w:t>
            </w:r>
            <w:r w:rsidR="008348D8" w:rsidRPr="008348D8">
              <w:rPr>
                <w:rFonts w:ascii="Calibri Light" w:hAnsi="Calibri Light" w:cs="Calibri Light"/>
                <w:color w:val="000000"/>
                <w:sz w:val="21"/>
                <w:szCs w:val="21"/>
              </w:rPr>
              <w:t>. To date, the Cabinet has secured 1</w:t>
            </w:r>
            <w:r w:rsidR="00F25671">
              <w:rPr>
                <w:rFonts w:ascii="Calibri Light" w:hAnsi="Calibri Light" w:cs="Calibri Light"/>
                <w:color w:val="000000"/>
                <w:sz w:val="21"/>
                <w:szCs w:val="21"/>
              </w:rPr>
              <w:t>7</w:t>
            </w:r>
            <w:r w:rsidR="008348D8" w:rsidRPr="008348D8">
              <w:rPr>
                <w:rFonts w:ascii="Calibri Light" w:hAnsi="Calibri Light" w:cs="Calibri Light"/>
                <w:color w:val="000000"/>
                <w:sz w:val="21"/>
                <w:szCs w:val="21"/>
              </w:rPr>
              <w:t xml:space="preserve"> new memberships in his honor. Call Marie Marczak at (409) 747-4876 or email</w:t>
            </w:r>
            <w:r w:rsidR="008348D8" w:rsidRPr="008348D8">
              <w:rPr>
                <w:rStyle w:val="apple-converted-space"/>
                <w:rFonts w:ascii="Calibri Light" w:hAnsi="Calibri Light" w:cs="Calibri Light"/>
                <w:color w:val="000000"/>
                <w:sz w:val="21"/>
                <w:szCs w:val="21"/>
              </w:rPr>
              <w:t> </w:t>
            </w:r>
            <w:hyperlink r:id="rId31" w:history="1">
              <w:r w:rsidR="008348D8" w:rsidRPr="008348D8">
                <w:rPr>
                  <w:rStyle w:val="Hyperlink"/>
                  <w:rFonts w:ascii="Calibri Light" w:hAnsi="Calibri Light" w:cs="Calibri Light"/>
                  <w:sz w:val="21"/>
                  <w:szCs w:val="21"/>
                </w:rPr>
                <w:t>mmarczak@utmb.edu</w:t>
              </w:r>
            </w:hyperlink>
            <w:r w:rsidR="008348D8" w:rsidRPr="008348D8">
              <w:rPr>
                <w:rStyle w:val="apple-converted-space"/>
                <w:rFonts w:ascii="Calibri Light" w:hAnsi="Calibri Light" w:cs="Calibri Light"/>
                <w:color w:val="000000"/>
                <w:sz w:val="21"/>
                <w:szCs w:val="21"/>
              </w:rPr>
              <w:t> </w:t>
            </w:r>
            <w:r w:rsidR="008348D8" w:rsidRPr="008348D8">
              <w:rPr>
                <w:rFonts w:ascii="Calibri Light" w:hAnsi="Calibri Light" w:cs="Calibri Light"/>
                <w:color w:val="000000"/>
                <w:sz w:val="21"/>
                <w:szCs w:val="21"/>
              </w:rPr>
              <w:t>to learn more about this membership campaign. For more information on the Cabinet, visit</w:t>
            </w:r>
            <w:r w:rsidR="008348D8" w:rsidRPr="008348D8">
              <w:rPr>
                <w:rStyle w:val="apple-converted-space"/>
                <w:rFonts w:ascii="Calibri Light" w:hAnsi="Calibri Light" w:cs="Calibri Light"/>
                <w:color w:val="000000"/>
                <w:sz w:val="21"/>
                <w:szCs w:val="21"/>
              </w:rPr>
              <w:t> </w:t>
            </w:r>
            <w:hyperlink r:id="rId32" w:history="1">
              <w:r w:rsidR="008348D8" w:rsidRPr="008348D8">
                <w:rPr>
                  <w:rStyle w:val="Hyperlink"/>
                  <w:rFonts w:ascii="Calibri Light" w:hAnsi="Calibri Light" w:cs="Calibri Light"/>
                  <w:sz w:val="21"/>
                  <w:szCs w:val="21"/>
                </w:rPr>
                <w:t>https://development.utmb.edu/cabinet-intro</w:t>
              </w:r>
            </w:hyperlink>
            <w:bookmarkEnd w:id="1"/>
            <w:r w:rsidR="008348D8" w:rsidRPr="008348D8">
              <w:rPr>
                <w:rFonts w:ascii="Calibri Light" w:hAnsi="Calibri Light" w:cs="Calibri Light"/>
                <w:color w:val="00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848E" w14:textId="77777777" w:rsidR="00555702" w:rsidRDefault="00555702" w:rsidP="00874B86">
      <w:r>
        <w:separator/>
      </w:r>
    </w:p>
  </w:endnote>
  <w:endnote w:type="continuationSeparator" w:id="0">
    <w:p w14:paraId="369D2477" w14:textId="77777777" w:rsidR="00555702" w:rsidRDefault="0055570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E32F" w14:textId="77777777" w:rsidR="00555702" w:rsidRDefault="00555702" w:rsidP="00874B86">
      <w:r>
        <w:separator/>
      </w:r>
    </w:p>
  </w:footnote>
  <w:footnote w:type="continuationSeparator" w:id="0">
    <w:p w14:paraId="2523A925" w14:textId="77777777" w:rsidR="00555702" w:rsidRDefault="0055570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F35406">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7A4B"/>
    <w:multiLevelType w:val="multilevel"/>
    <w:tmpl w:val="BD4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9542C"/>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30AF2"/>
    <w:multiLevelType w:val="multilevel"/>
    <w:tmpl w:val="1B0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836038"/>
    <w:multiLevelType w:val="multilevel"/>
    <w:tmpl w:val="343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B0402E"/>
    <w:multiLevelType w:val="multilevel"/>
    <w:tmpl w:val="BDB8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C0D79"/>
    <w:multiLevelType w:val="multilevel"/>
    <w:tmpl w:val="FB7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D4D64"/>
    <w:multiLevelType w:val="multilevel"/>
    <w:tmpl w:val="781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35129F"/>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983694"/>
    <w:multiLevelType w:val="multilevel"/>
    <w:tmpl w:val="0DCE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26"/>
  </w:num>
  <w:num w:numId="4">
    <w:abstractNumId w:val="7"/>
  </w:num>
  <w:num w:numId="5">
    <w:abstractNumId w:val="19"/>
  </w:num>
  <w:num w:numId="6">
    <w:abstractNumId w:val="27"/>
  </w:num>
  <w:num w:numId="7">
    <w:abstractNumId w:val="16"/>
  </w:num>
  <w:num w:numId="8">
    <w:abstractNumId w:val="21"/>
  </w:num>
  <w:num w:numId="9">
    <w:abstractNumId w:val="4"/>
  </w:num>
  <w:num w:numId="10">
    <w:abstractNumId w:val="5"/>
  </w:num>
  <w:num w:numId="11">
    <w:abstractNumId w:val="31"/>
  </w:num>
  <w:num w:numId="12">
    <w:abstractNumId w:val="22"/>
  </w:num>
  <w:num w:numId="13">
    <w:abstractNumId w:val="18"/>
  </w:num>
  <w:num w:numId="14">
    <w:abstractNumId w:val="0"/>
  </w:num>
  <w:num w:numId="15">
    <w:abstractNumId w:val="11"/>
  </w:num>
  <w:num w:numId="16">
    <w:abstractNumId w:val="30"/>
  </w:num>
  <w:num w:numId="17">
    <w:abstractNumId w:val="24"/>
  </w:num>
  <w:num w:numId="18">
    <w:abstractNumId w:val="34"/>
  </w:num>
  <w:num w:numId="19">
    <w:abstractNumId w:val="10"/>
  </w:num>
  <w:num w:numId="20">
    <w:abstractNumId w:val="12"/>
  </w:num>
  <w:num w:numId="21">
    <w:abstractNumId w:val="23"/>
  </w:num>
  <w:num w:numId="22">
    <w:abstractNumId w:val="25"/>
  </w:num>
  <w:num w:numId="23">
    <w:abstractNumId w:val="32"/>
  </w:num>
  <w:num w:numId="24">
    <w:abstractNumId w:val="35"/>
  </w:num>
  <w:num w:numId="25">
    <w:abstractNumId w:val="37"/>
  </w:num>
  <w:num w:numId="26">
    <w:abstractNumId w:val="14"/>
  </w:num>
  <w:num w:numId="27">
    <w:abstractNumId w:val="36"/>
  </w:num>
  <w:num w:numId="28">
    <w:abstractNumId w:val="6"/>
  </w:num>
  <w:num w:numId="29">
    <w:abstractNumId w:val="3"/>
  </w:num>
  <w:num w:numId="30">
    <w:abstractNumId w:val="17"/>
  </w:num>
  <w:num w:numId="31">
    <w:abstractNumId w:val="28"/>
  </w:num>
  <w:num w:numId="32">
    <w:abstractNumId w:val="15"/>
  </w:num>
  <w:num w:numId="33">
    <w:abstractNumId w:val="33"/>
  </w:num>
  <w:num w:numId="34">
    <w:abstractNumId w:val="9"/>
  </w:num>
  <w:num w:numId="35">
    <w:abstractNumId w:val="13"/>
  </w:num>
  <w:num w:numId="36">
    <w:abstractNumId w:val="1"/>
  </w:num>
  <w:num w:numId="37">
    <w:abstractNumId w:val="20"/>
  </w:num>
  <w:num w:numId="38">
    <w:abstractNumId w:val="8"/>
  </w:num>
  <w:num w:numId="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6730C"/>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5C4"/>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26F98"/>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30C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04129"/>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3FF"/>
    <w:rsid w:val="00366EDC"/>
    <w:rsid w:val="00374337"/>
    <w:rsid w:val="00375A64"/>
    <w:rsid w:val="00381C8B"/>
    <w:rsid w:val="00383F66"/>
    <w:rsid w:val="003929D4"/>
    <w:rsid w:val="003930CE"/>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1D6A"/>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55702"/>
    <w:rsid w:val="005600FC"/>
    <w:rsid w:val="005637B8"/>
    <w:rsid w:val="005653F7"/>
    <w:rsid w:val="0057109E"/>
    <w:rsid w:val="00575A0F"/>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0AC"/>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48D8"/>
    <w:rsid w:val="00837050"/>
    <w:rsid w:val="00844A10"/>
    <w:rsid w:val="00845B26"/>
    <w:rsid w:val="00850426"/>
    <w:rsid w:val="00850C4A"/>
    <w:rsid w:val="008531B5"/>
    <w:rsid w:val="0085420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AF75B4"/>
    <w:rsid w:val="00B00381"/>
    <w:rsid w:val="00B00E72"/>
    <w:rsid w:val="00B03426"/>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55F2"/>
    <w:rsid w:val="00B568B4"/>
    <w:rsid w:val="00B57173"/>
    <w:rsid w:val="00B62268"/>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EC1"/>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052CC"/>
    <w:rsid w:val="00E11899"/>
    <w:rsid w:val="00E12CC3"/>
    <w:rsid w:val="00E1568E"/>
    <w:rsid w:val="00E17888"/>
    <w:rsid w:val="00E22481"/>
    <w:rsid w:val="00E2372A"/>
    <w:rsid w:val="00E25284"/>
    <w:rsid w:val="00E25B65"/>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4261"/>
    <w:rsid w:val="00EF556C"/>
    <w:rsid w:val="00F00004"/>
    <w:rsid w:val="00F0451E"/>
    <w:rsid w:val="00F0562E"/>
    <w:rsid w:val="00F060B5"/>
    <w:rsid w:val="00F106B3"/>
    <w:rsid w:val="00F11ACA"/>
    <w:rsid w:val="00F13FE9"/>
    <w:rsid w:val="00F20F49"/>
    <w:rsid w:val="00F21CCC"/>
    <w:rsid w:val="00F245FF"/>
    <w:rsid w:val="00F24BC8"/>
    <w:rsid w:val="00F25671"/>
    <w:rsid w:val="00F269E7"/>
    <w:rsid w:val="00F30E6D"/>
    <w:rsid w:val="00F31573"/>
    <w:rsid w:val="00F3323B"/>
    <w:rsid w:val="00F340EF"/>
    <w:rsid w:val="00F35406"/>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7469"/>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8974331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0781457">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129432">
      <w:bodyDiv w:val="1"/>
      <w:marLeft w:val="0"/>
      <w:marRight w:val="0"/>
      <w:marTop w:val="0"/>
      <w:marBottom w:val="0"/>
      <w:divBdr>
        <w:top w:val="none" w:sz="0" w:space="0" w:color="auto"/>
        <w:left w:val="none" w:sz="0" w:space="0" w:color="auto"/>
        <w:bottom w:val="none" w:sz="0" w:space="0" w:color="auto"/>
        <w:right w:val="none" w:sz="0" w:space="0" w:color="auto"/>
      </w:divBdr>
    </w:div>
    <w:div w:id="39702431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495099">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5397281">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9154728">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37053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1704355">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49074979">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274040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998119">
      <w:bodyDiv w:val="1"/>
      <w:marLeft w:val="0"/>
      <w:marRight w:val="0"/>
      <w:marTop w:val="0"/>
      <w:marBottom w:val="0"/>
      <w:divBdr>
        <w:top w:val="none" w:sz="0" w:space="0" w:color="auto"/>
        <w:left w:val="none" w:sz="0" w:space="0" w:color="auto"/>
        <w:bottom w:val="none" w:sz="0" w:space="0" w:color="auto"/>
        <w:right w:val="none" w:sz="0" w:space="0" w:color="auto"/>
      </w:divBdr>
    </w:div>
    <w:div w:id="165865353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8652">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6079720">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505953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3sy"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utmb.us/3u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oedhelp@utmb.edu"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vsc.org/index.php/Events?fbclid=IwAR0NFgVjWodwsPPY0mHceRhDZhODHOSzDbCgJFHYFeCk6pdB0uw0lqHRe1E" TargetMode="External"/><Relationship Id="rId20" Type="http://schemas.openxmlformats.org/officeDocument/2006/relationships/hyperlink" Target="http://www.utmb.edu/map" TargetMode="External"/><Relationship Id="rId29" Type="http://schemas.openxmlformats.org/officeDocument/2006/relationships/hyperlink" Target="http://intranet.utmb.edu/best-care/high-value-practicing-organization/opioids-stewardship/opioids-faqs-state-law-requiring-pmp-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yperlink" Target="https://development.utmb.edu/cabinet-intro"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3t9" TargetMode="External"/><Relationship Id="rId28" Type="http://schemas.openxmlformats.org/officeDocument/2006/relationships/hyperlink" Target="https://www.pharmacy.texas.gov/PMP/aware.as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mailto:mmarczak@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microsoft.com/en-us/mobileapps" TargetMode="External"/><Relationship Id="rId27" Type="http://schemas.openxmlformats.org/officeDocument/2006/relationships/image" Target="media/image8.png"/><Relationship Id="rId30" Type="http://schemas.openxmlformats.org/officeDocument/2006/relationships/hyperlink" Target="https://utmb.us/3tp"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purl.org/dc/terms/"/>
    <ds:schemaRef ds:uri="http://schemas.microsoft.com/office/2006/documentManagement/types"/>
    <ds:schemaRef ds:uri="http://schemas.openxmlformats.org/package/2006/metadata/core-properties"/>
    <ds:schemaRef ds:uri="http://purl.org/dc/dcmitype/"/>
    <ds:schemaRef ds:uri="96b5767f-53a9-4803-8434-6fd8f76382d3"/>
    <ds:schemaRef ds:uri="http://schemas.microsoft.com/office/2006/metadata/properties"/>
    <ds:schemaRef ds:uri="http://schemas.microsoft.com/sharepoint/v3"/>
    <ds:schemaRef ds:uri="http://www.w3.org/XML/1998/namespace"/>
    <ds:schemaRef ds:uri="http://schemas.microsoft.com/office/infopath/2007/PartnerControls"/>
    <ds:schemaRef ds:uri="2ed015d1-f7a6-4d6f-97ba-b37262e2f255"/>
    <ds:schemaRef ds:uri="http://purl.org/dc/elements/1.1/"/>
  </ds:schemaRefs>
</ds:datastoreItem>
</file>

<file path=customXml/itemProps3.xml><?xml version="1.0" encoding="utf-8"?>
<ds:datastoreItem xmlns:ds="http://schemas.openxmlformats.org/officeDocument/2006/customXml" ds:itemID="{55501BB0-F99E-4D9E-89FF-A3AEBDC2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341F1-D748-4CDC-9276-A4570BEF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6</cp:revision>
  <cp:lastPrinted>2020-02-28T15:55:00Z</cp:lastPrinted>
  <dcterms:created xsi:type="dcterms:W3CDTF">2020-02-28T15:02:00Z</dcterms:created>
  <dcterms:modified xsi:type="dcterms:W3CDTF">2020-02-28T22:31:00Z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